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#22</w:t>
      </w:r>
    </w:p>
    <w:p>
      <w:pPr>
        <w:pStyle w:val="Heading2"/>
      </w:pPr>
      <w:r>
        <w:t>Enterprise Governance Library</w:t>
      </w:r>
    </w:p>
    <w:p>
      <w:pPr>
        <w:pStyle w:val="ListBullet"/>
      </w:pPr>
      <w:r>
        <w:t>Enterprise IT governance</w:t>
      </w:r>
    </w:p>
    <w:p>
      <w:pPr>
        <w:pStyle w:val="ListBullet"/>
      </w:pPr>
      <w:r>
        <w:t>Technology roadmap alignment</w:t>
      </w:r>
    </w:p>
    <w:p>
      <w:pPr>
        <w:pStyle w:val="ListBullet"/>
      </w:pPr>
      <w:r>
        <w:t>Portfolio governance</w:t>
      </w:r>
    </w:p>
    <w:p>
      <w:pPr>
        <w:pStyle w:val="ListBullet"/>
      </w:pPr>
      <w:r>
        <w:t>Architecture review participation</w:t>
      </w:r>
    </w:p>
    <w:p>
      <w:pPr>
        <w:pStyle w:val="ListBullet"/>
      </w:pPr>
      <w:r>
        <w:t>Policy exception management</w:t>
      </w:r>
    </w:p>
    <w:p>
      <w:pPr>
        <w:pStyle w:val="ListBullet"/>
      </w:pPr>
      <w:r>
        <w:t>Executive governance forums</w:t>
      </w:r>
    </w:p>
    <w:p>
      <w:pPr>
        <w:pStyle w:val="Heading2"/>
      </w:pPr>
      <w:r>
        <w:t>Operational Excellence Outcomes</w:t>
      </w:r>
    </w:p>
    <w:p>
      <w:pPr>
        <w:pStyle w:val="ListBullet"/>
      </w:pPr>
      <w:r>
        <w:t>Reduced operational risk</w:t>
      </w:r>
    </w:p>
    <w:p>
      <w:pPr>
        <w:pStyle w:val="ListBullet"/>
      </w:pPr>
      <w:r>
        <w:t>Improved service stability</w:t>
      </w:r>
    </w:p>
    <w:p>
      <w:pPr>
        <w:pStyle w:val="ListBullet"/>
      </w:pPr>
      <w:r>
        <w:t>Standardized IT processes</w:t>
      </w:r>
    </w:p>
    <w:p>
      <w:pPr>
        <w:pStyle w:val="ListBullet"/>
      </w:pPr>
      <w:r>
        <w:t>Enhanced governance maturity</w:t>
      </w:r>
    </w:p>
    <w:p>
      <w:pPr>
        <w:pStyle w:val="ListBullet"/>
      </w:pPr>
      <w:r>
        <w:t>Improved audit readiness</w:t>
      </w:r>
    </w:p>
    <w:p>
      <w:pPr>
        <w:pStyle w:val="ListBullet"/>
      </w:pPr>
      <w:r>
        <w:t>Strengthened business trust</w:t>
      </w:r>
    </w:p>
    <w:p>
      <w:pPr>
        <w:pStyle w:val="Heading2"/>
      </w:pPr>
      <w:r>
        <w:t>Application Strategy Library</w:t>
      </w:r>
    </w:p>
    <w:p>
      <w:pPr>
        <w:pStyle w:val="ListBullet"/>
      </w:pPr>
      <w:r>
        <w:t>Tailor content to the target role.</w:t>
      </w:r>
    </w:p>
    <w:p>
      <w:pPr>
        <w:pStyle w:val="ListBullet"/>
      </w:pPr>
      <w:r>
        <w:t>Prioritize hiring probability.</w:t>
      </w:r>
    </w:p>
    <w:p>
      <w:pPr>
        <w:pStyle w:val="ListBullet"/>
      </w:pPr>
      <w:r>
        <w:t>Avoid unnecessary technical detail.</w:t>
      </w:r>
    </w:p>
    <w:p>
      <w:pPr>
        <w:pStyle w:val="ListBullet"/>
      </w:pPr>
      <w:r>
        <w:t>Keep business outcomes prominent.</w:t>
      </w:r>
    </w:p>
    <w:p>
      <w:pPr>
        <w:pStyle w:val="Heading2"/>
      </w:pPr>
      <w:r>
        <w:t>Knowledge Maintenance Checklist</w:t>
      </w:r>
    </w:p>
    <w:p>
      <w:pPr>
        <w:pStyle w:val="ListBullet"/>
      </w:pPr>
      <w:r>
        <w:t>Remove duplicate libraries.</w:t>
      </w:r>
    </w:p>
    <w:p>
      <w:pPr>
        <w:pStyle w:val="ListBullet"/>
      </w:pPr>
      <w:r>
        <w:t>Update only with verified experience.</w:t>
      </w:r>
    </w:p>
    <w:p>
      <w:pPr>
        <w:pStyle w:val="ListBullet"/>
      </w:pPr>
      <w:r>
        <w:t>Preserve consistent terminology.</w:t>
      </w:r>
    </w:p>
    <w:p>
      <w:pPr>
        <w:pStyle w:val="ListBullet"/>
      </w:pPr>
      <w:r>
        <w:t>Validate against the latest master documents.</w:t>
      </w:r>
    </w:p>
    <w:p>
      <w:pPr>
        <w:pStyle w:val="ListBullet"/>
      </w:pPr>
      <w:r>
        <w:t>Maintain PromptBuilder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