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#23</w:t>
      </w:r>
    </w:p>
    <w:p>
      <w:pPr>
        <w:pStyle w:val="Heading2"/>
      </w:pPr>
      <w:r>
        <w:t>Operational Security Library</w:t>
      </w:r>
    </w:p>
    <w:p>
      <w:pPr>
        <w:pStyle w:val="ListBullet"/>
      </w:pPr>
      <w:r>
        <w:t>Security operations governance</w:t>
      </w:r>
    </w:p>
    <w:p>
      <w:pPr>
        <w:pStyle w:val="ListBullet"/>
      </w:pPr>
      <w:r>
        <w:t>Vulnerability management coordination</w:t>
      </w:r>
    </w:p>
    <w:p>
      <w:pPr>
        <w:pStyle w:val="ListBullet"/>
      </w:pPr>
      <w:r>
        <w:t>Patch governance</w:t>
      </w:r>
    </w:p>
    <w:p>
      <w:pPr>
        <w:pStyle w:val="ListBullet"/>
      </w:pPr>
      <w:r>
        <w:t>Security incident communication</w:t>
      </w:r>
    </w:p>
    <w:p>
      <w:pPr>
        <w:pStyle w:val="ListBullet"/>
      </w:pPr>
      <w:r>
        <w:t>Access certification</w:t>
      </w:r>
    </w:p>
    <w:p>
      <w:pPr>
        <w:pStyle w:val="ListBullet"/>
      </w:pPr>
      <w:r>
        <w:t>Security KPI reporting</w:t>
      </w:r>
    </w:p>
    <w:p>
      <w:pPr>
        <w:pStyle w:val="Heading2"/>
      </w:pPr>
      <w:r>
        <w:t>Business Enablement Library</w:t>
      </w:r>
    </w:p>
    <w:p>
      <w:pPr>
        <w:pStyle w:val="ListBullet"/>
      </w:pPr>
      <w:r>
        <w:t>Align IT initiatives with business priorities</w:t>
      </w:r>
    </w:p>
    <w:p>
      <w:pPr>
        <w:pStyle w:val="ListBullet"/>
      </w:pPr>
      <w:r>
        <w:t>Support organizational growth through technology</w:t>
      </w:r>
    </w:p>
    <w:p>
      <w:pPr>
        <w:pStyle w:val="ListBullet"/>
      </w:pPr>
      <w:r>
        <w:t>Improve employee productivity</w:t>
      </w:r>
    </w:p>
    <w:p>
      <w:pPr>
        <w:pStyle w:val="ListBullet"/>
      </w:pPr>
      <w:r>
        <w:t>Increase operational transparency</w:t>
      </w:r>
    </w:p>
    <w:p>
      <w:pPr>
        <w:pStyle w:val="ListBullet"/>
      </w:pPr>
      <w:r>
        <w:t>Strengthen stakeholder confidence</w:t>
      </w:r>
    </w:p>
    <w:p>
      <w:pPr>
        <w:pStyle w:val="Heading2"/>
      </w:pPr>
      <w:r>
        <w:t>Resume Tailoring Rules</w:t>
      </w:r>
    </w:p>
    <w:p>
      <w:pPr>
        <w:pStyle w:val="ListBullet"/>
      </w:pPr>
      <w:r>
        <w:t>Adapt emphasis, not facts.</w:t>
      </w:r>
    </w:p>
    <w:p>
      <w:pPr>
        <w:pStyle w:val="ListBullet"/>
      </w:pPr>
      <w:r>
        <w:t>Select only role-relevant competencies.</w:t>
      </w:r>
    </w:p>
    <w:p>
      <w:pPr>
        <w:pStyle w:val="ListBullet"/>
      </w:pPr>
      <w:r>
        <w:t>Keep executive positioning consistent.</w:t>
      </w:r>
    </w:p>
    <w:p>
      <w:pPr>
        <w:pStyle w:val="ListBullet"/>
      </w:pPr>
      <w:r>
        <w:t>Remove irrelevant historical detail when needed.</w:t>
      </w:r>
    </w:p>
    <w:p>
      <w:pPr>
        <w:pStyle w:val="Heading2"/>
      </w:pPr>
      <w:r>
        <w:t>Final Production Notes</w:t>
      </w:r>
    </w:p>
    <w:p>
      <w:pPr>
        <w:pStyle w:val="ListBullet"/>
      </w:pPr>
      <w:r>
        <w:t>Single authoritative knowledge source.</w:t>
      </w:r>
    </w:p>
    <w:p>
      <w:pPr>
        <w:pStyle w:val="ListBullet"/>
      </w:pPr>
      <w:r>
        <w:t>Designed for PromptBuilder integration.</w:t>
      </w:r>
    </w:p>
    <w:p>
      <w:pPr>
        <w:pStyle w:val="ListBullet"/>
      </w:pPr>
      <w:r>
        <w:t>Reusable for CV, Cover Letter, Position Analysis and Interview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