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career_library.docx</w:t>
      </w:r>
    </w:p>
    <w:p>
      <w:r>
        <w:t>Version: v2.0 Working Draft #25</w:t>
      </w:r>
    </w:p>
    <w:p>
      <w:pPr>
        <w:pStyle w:val="Heading2"/>
      </w:pPr>
      <w:r>
        <w:t>Architecture &amp; Standards Library</w:t>
      </w:r>
    </w:p>
    <w:p>
      <w:pPr>
        <w:pStyle w:val="ListBullet"/>
      </w:pPr>
      <w:r>
        <w:t>Enterprise architecture awareness</w:t>
      </w:r>
    </w:p>
    <w:p>
      <w:pPr>
        <w:pStyle w:val="ListBullet"/>
      </w:pPr>
      <w:r>
        <w:t>Technology standards</w:t>
      </w:r>
    </w:p>
    <w:p>
      <w:pPr>
        <w:pStyle w:val="ListBullet"/>
      </w:pPr>
      <w:r>
        <w:t>Platform lifecycle governance</w:t>
      </w:r>
    </w:p>
    <w:p>
      <w:pPr>
        <w:pStyle w:val="ListBullet"/>
      </w:pPr>
      <w:r>
        <w:t>Configuration standards</w:t>
      </w:r>
    </w:p>
    <w:p>
      <w:pPr>
        <w:pStyle w:val="ListBullet"/>
      </w:pPr>
      <w:r>
        <w:t>Documentation standards</w:t>
      </w:r>
    </w:p>
    <w:p>
      <w:pPr>
        <w:pStyle w:val="ListBullet"/>
      </w:pPr>
      <w:r>
        <w:t>Technical review governance</w:t>
      </w:r>
    </w:p>
    <w:p>
      <w:pPr>
        <w:pStyle w:val="Heading2"/>
      </w:pPr>
      <w:r>
        <w:t>Operational Planning Library</w:t>
      </w:r>
    </w:p>
    <w:p>
      <w:pPr>
        <w:pStyle w:val="ListBullet"/>
      </w:pPr>
      <w:r>
        <w:t>Annual IT planning</w:t>
      </w:r>
    </w:p>
    <w:p>
      <w:pPr>
        <w:pStyle w:val="ListBullet"/>
      </w:pPr>
      <w:r>
        <w:t>Budget forecasting</w:t>
      </w:r>
    </w:p>
    <w:p>
      <w:pPr>
        <w:pStyle w:val="ListBullet"/>
      </w:pPr>
      <w:r>
        <w:t>Capacity planning</w:t>
      </w:r>
    </w:p>
    <w:p>
      <w:pPr>
        <w:pStyle w:val="ListBullet"/>
      </w:pPr>
      <w:r>
        <w:t>Resource prioritization</w:t>
      </w:r>
    </w:p>
    <w:p>
      <w:pPr>
        <w:pStyle w:val="ListBullet"/>
      </w:pPr>
      <w:r>
        <w:t>Service roadmap</w:t>
      </w:r>
    </w:p>
    <w:p>
      <w:pPr>
        <w:pStyle w:val="ListBullet"/>
      </w:pPr>
      <w:r>
        <w:t>Risk-based prioritization</w:t>
      </w:r>
    </w:p>
    <w:p>
      <w:pPr>
        <w:pStyle w:val="Heading2"/>
      </w:pPr>
      <w:r>
        <w:t>Business Communication Library</w:t>
      </w:r>
    </w:p>
    <w:p>
      <w:pPr>
        <w:pStyle w:val="ListBullet"/>
      </w:pPr>
      <w:r>
        <w:t>Executive presentations</w:t>
      </w:r>
    </w:p>
    <w:p>
      <w:pPr>
        <w:pStyle w:val="ListBullet"/>
      </w:pPr>
      <w:r>
        <w:t>Management reporting</w:t>
      </w:r>
    </w:p>
    <w:p>
      <w:pPr>
        <w:pStyle w:val="ListBullet"/>
      </w:pPr>
      <w:r>
        <w:t>Business case preparation</w:t>
      </w:r>
    </w:p>
    <w:p>
      <w:pPr>
        <w:pStyle w:val="ListBullet"/>
      </w:pPr>
      <w:r>
        <w:t>Cross-functional workshops</w:t>
      </w:r>
    </w:p>
    <w:p>
      <w:pPr>
        <w:pStyle w:val="ListBullet"/>
      </w:pPr>
      <w:r>
        <w:t>Decision documentation</w:t>
      </w:r>
    </w:p>
    <w:p>
      <w:pPr>
        <w:pStyle w:val="Heading2"/>
      </w:pPr>
      <w:r>
        <w:t>Source Integrity Rules</w:t>
      </w:r>
    </w:p>
    <w:p>
      <w:pPr>
        <w:pStyle w:val="ListBullet"/>
      </w:pPr>
      <w:r>
        <w:t>Every capability must be traceable to verified experience.</w:t>
      </w:r>
    </w:p>
    <w:p>
      <w:pPr>
        <w:pStyle w:val="ListBullet"/>
      </w:pPr>
      <w:r>
        <w:t>Do not introduce speculative skills.</w:t>
      </w:r>
    </w:p>
    <w:p>
      <w:pPr>
        <w:pStyle w:val="ListBullet"/>
      </w:pPr>
      <w:r>
        <w:t>Maintain one canonical description for each competency.</w:t>
      </w:r>
    </w:p>
    <w:p>
      <w:pPr>
        <w:pStyle w:val="ListBullet"/>
      </w:pPr>
      <w:r>
        <w:t>Keep the library suitable for automated document generation.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