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career_library.docx</w:t>
      </w:r>
    </w:p>
    <w:p>
      <w:r>
        <w:t>Version: v2.0 Working Draft #26</w:t>
      </w:r>
    </w:p>
    <w:p>
      <w:pPr>
        <w:pStyle w:val="Heading2"/>
      </w:pPr>
      <w:r>
        <w:t>Operational Maturity Library</w:t>
      </w:r>
    </w:p>
    <w:p>
      <w:pPr>
        <w:pStyle w:val="ListBullet"/>
      </w:pPr>
      <w:r>
        <w:t>Service maturity assessment</w:t>
      </w:r>
    </w:p>
    <w:p>
      <w:pPr>
        <w:pStyle w:val="ListBullet"/>
      </w:pPr>
      <w:r>
        <w:t>Governance maturity improvement</w:t>
      </w:r>
    </w:p>
    <w:p>
      <w:pPr>
        <w:pStyle w:val="ListBullet"/>
      </w:pPr>
      <w:r>
        <w:t>Process optimization</w:t>
      </w:r>
    </w:p>
    <w:p>
      <w:pPr>
        <w:pStyle w:val="ListBullet"/>
      </w:pPr>
      <w:r>
        <w:t>Operational standardization</w:t>
      </w:r>
    </w:p>
    <w:p>
      <w:pPr>
        <w:pStyle w:val="ListBullet"/>
      </w:pPr>
      <w:r>
        <w:t>Continuous compliance</w:t>
      </w:r>
    </w:p>
    <w:p>
      <w:pPr>
        <w:pStyle w:val="ListBullet"/>
      </w:pPr>
      <w:r>
        <w:t>Performance benchmarking</w:t>
      </w:r>
    </w:p>
    <w:p>
      <w:pPr>
        <w:pStyle w:val="Heading2"/>
      </w:pPr>
      <w:r>
        <w:t>Executive Decision Support Library</w:t>
      </w:r>
    </w:p>
    <w:p>
      <w:pPr>
        <w:pStyle w:val="ListBullet"/>
      </w:pPr>
      <w:r>
        <w:t>Executive briefing preparation</w:t>
      </w:r>
    </w:p>
    <w:p>
      <w:pPr>
        <w:pStyle w:val="ListBullet"/>
      </w:pPr>
      <w:r>
        <w:t>Technology investment evaluation</w:t>
      </w:r>
    </w:p>
    <w:p>
      <w:pPr>
        <w:pStyle w:val="ListBullet"/>
      </w:pPr>
      <w:r>
        <w:t>Risk-benefit analysis</w:t>
      </w:r>
    </w:p>
    <w:p>
      <w:pPr>
        <w:pStyle w:val="ListBullet"/>
      </w:pPr>
      <w:r>
        <w:t>Strategic recommendation development</w:t>
      </w:r>
    </w:p>
    <w:p>
      <w:pPr>
        <w:pStyle w:val="ListBullet"/>
      </w:pPr>
      <w:r>
        <w:t>Business impact assessment</w:t>
      </w:r>
    </w:p>
    <w:p>
      <w:pPr>
        <w:pStyle w:val="Heading2"/>
      </w:pPr>
      <w:r>
        <w:t>Vendor Governance Outcomes</w:t>
      </w:r>
    </w:p>
    <w:p>
      <w:pPr>
        <w:pStyle w:val="ListBullet"/>
      </w:pPr>
      <w:r>
        <w:t>Contract compliance</w:t>
      </w:r>
    </w:p>
    <w:p>
      <w:pPr>
        <w:pStyle w:val="ListBullet"/>
      </w:pPr>
      <w:r>
        <w:t>Service quality monitoring</w:t>
      </w:r>
    </w:p>
    <w:p>
      <w:pPr>
        <w:pStyle w:val="ListBullet"/>
      </w:pPr>
      <w:r>
        <w:t>Vendor performance reviews</w:t>
      </w:r>
    </w:p>
    <w:p>
      <w:pPr>
        <w:pStyle w:val="ListBullet"/>
      </w:pPr>
      <w:r>
        <w:t>Cost optimization initiatives</w:t>
      </w:r>
    </w:p>
    <w:p>
      <w:pPr>
        <w:pStyle w:val="ListBullet"/>
      </w:pPr>
      <w:r>
        <w:t>Long-term partnership management</w:t>
      </w:r>
    </w:p>
    <w:p>
      <w:pPr>
        <w:pStyle w:val="Heading2"/>
      </w:pPr>
      <w:r>
        <w:t>Knowledge Governance Rules</w:t>
      </w:r>
    </w:p>
    <w:p>
      <w:pPr>
        <w:pStyle w:val="ListBullet"/>
      </w:pPr>
      <w:r>
        <w:t>Maintain one authoritative entry per concept.</w:t>
      </w:r>
    </w:p>
    <w:p>
      <w:pPr>
        <w:pStyle w:val="ListBullet"/>
      </w:pPr>
      <w:r>
        <w:t>Archive obsolete knowledge instead of duplicating it.</w:t>
      </w:r>
    </w:p>
    <w:p>
      <w:pPr>
        <w:pStyle w:val="ListBullet"/>
      </w:pPr>
      <w:r>
        <w:t>Review terminology before each release.</w:t>
      </w:r>
    </w:p>
    <w:p>
      <w:pPr>
        <w:pStyle w:val="ListBullet"/>
      </w:pPr>
      <w:r>
        <w:t>Ensure compatibility with CV, Cover Letter and Position Analysis generation.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