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#27</w:t>
      </w:r>
    </w:p>
    <w:p>
      <w:pPr>
        <w:pStyle w:val="Heading2"/>
      </w:pPr>
      <w:r>
        <w:t>Enterprise Operations Library</w:t>
      </w:r>
    </w:p>
    <w:p>
      <w:pPr>
        <w:pStyle w:val="ListBullet"/>
      </w:pPr>
      <w:r>
        <w:t>24x7 service operations</w:t>
      </w:r>
    </w:p>
    <w:p>
      <w:pPr>
        <w:pStyle w:val="ListBullet"/>
      </w:pPr>
      <w:r>
        <w:t>Operational governance</w:t>
      </w:r>
    </w:p>
    <w:p>
      <w:pPr>
        <w:pStyle w:val="ListBullet"/>
      </w:pPr>
      <w:r>
        <w:t>Infrastructure lifecycle oversight</w:t>
      </w:r>
    </w:p>
    <w:p>
      <w:pPr>
        <w:pStyle w:val="ListBullet"/>
      </w:pPr>
      <w:r>
        <w:t>Enterprise support model</w:t>
      </w:r>
    </w:p>
    <w:p>
      <w:pPr>
        <w:pStyle w:val="ListBullet"/>
      </w:pPr>
      <w:r>
        <w:t>Critical incident coordination</w:t>
      </w:r>
    </w:p>
    <w:p>
      <w:pPr>
        <w:pStyle w:val="ListBullet"/>
      </w:pPr>
      <w:r>
        <w:t>Business service continuity</w:t>
      </w:r>
    </w:p>
    <w:p>
      <w:pPr>
        <w:pStyle w:val="Heading2"/>
      </w:pPr>
      <w:r>
        <w:t>Strategic Planning Library</w:t>
      </w:r>
    </w:p>
    <w:p>
      <w:pPr>
        <w:pStyle w:val="ListBullet"/>
      </w:pPr>
      <w:r>
        <w:t>IT strategic planning</w:t>
      </w:r>
    </w:p>
    <w:p>
      <w:pPr>
        <w:pStyle w:val="ListBullet"/>
      </w:pPr>
      <w:r>
        <w:t>Technology roadmap development</w:t>
      </w:r>
    </w:p>
    <w:p>
      <w:pPr>
        <w:pStyle w:val="ListBullet"/>
      </w:pPr>
      <w:r>
        <w:t>Capability assessment</w:t>
      </w:r>
    </w:p>
    <w:p>
      <w:pPr>
        <w:pStyle w:val="ListBullet"/>
      </w:pPr>
      <w:r>
        <w:t>Investment prioritization</w:t>
      </w:r>
    </w:p>
    <w:p>
      <w:pPr>
        <w:pStyle w:val="ListBullet"/>
      </w:pPr>
      <w:r>
        <w:t>Business alignment</w:t>
      </w:r>
    </w:p>
    <w:p>
      <w:pPr>
        <w:pStyle w:val="ListBullet"/>
      </w:pPr>
      <w:r>
        <w:t>Long-term operational planning</w:t>
      </w:r>
    </w:p>
    <w:p>
      <w:pPr>
        <w:pStyle w:val="Heading2"/>
      </w:pPr>
      <w:r>
        <w:t>Executive Risk Library</w:t>
      </w:r>
    </w:p>
    <w:p>
      <w:pPr>
        <w:pStyle w:val="ListBullet"/>
      </w:pPr>
      <w:r>
        <w:t>Enterprise risk visibility</w:t>
      </w:r>
    </w:p>
    <w:p>
      <w:pPr>
        <w:pStyle w:val="ListBullet"/>
      </w:pPr>
      <w:r>
        <w:t>Technology risk communication</w:t>
      </w:r>
    </w:p>
    <w:p>
      <w:pPr>
        <w:pStyle w:val="ListBullet"/>
      </w:pPr>
      <w:r>
        <w:t>Control effectiveness</w:t>
      </w:r>
    </w:p>
    <w:p>
      <w:pPr>
        <w:pStyle w:val="ListBullet"/>
      </w:pPr>
      <w:r>
        <w:t>Regulatory readiness</w:t>
      </w:r>
    </w:p>
    <w:p>
      <w:pPr>
        <w:pStyle w:val="ListBullet"/>
      </w:pPr>
      <w:r>
        <w:t>Operational resilience reporting</w:t>
      </w:r>
    </w:p>
    <w:p>
      <w:pPr>
        <w:pStyle w:val="Heading2"/>
      </w:pPr>
      <w:r>
        <w:t>Knowledge Release Rules</w:t>
      </w:r>
    </w:p>
    <w:p>
      <w:pPr>
        <w:pStyle w:val="ListBullet"/>
      </w:pPr>
      <w:r>
        <w:t>Review for duplicated concepts before release.</w:t>
      </w:r>
    </w:p>
    <w:p>
      <w:pPr>
        <w:pStyle w:val="ListBullet"/>
      </w:pPr>
      <w:r>
        <w:t>Keep wording concise and reusable.</w:t>
      </w:r>
    </w:p>
    <w:p>
      <w:pPr>
        <w:pStyle w:val="ListBullet"/>
      </w:pPr>
      <w:r>
        <w:t>Maintain compatibility with PromptBuilder.</w:t>
      </w:r>
    </w:p>
    <w:p>
      <w:pPr>
        <w:pStyle w:val="ListBullet"/>
      </w:pPr>
      <w:r>
        <w:t>Synchronize future updates with MASTER_v4.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