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#28</w:t>
      </w:r>
    </w:p>
    <w:p>
      <w:pPr>
        <w:pStyle w:val="Heading2"/>
      </w:pPr>
      <w:r>
        <w:t>Service Portfolio Library</w:t>
      </w:r>
    </w:p>
    <w:p>
      <w:pPr>
        <w:pStyle w:val="ListBullet"/>
      </w:pPr>
      <w:r>
        <w:t>Service catalog governance</w:t>
      </w:r>
    </w:p>
    <w:p>
      <w:pPr>
        <w:pStyle w:val="ListBullet"/>
      </w:pPr>
      <w:r>
        <w:t>Business service ownership</w:t>
      </w:r>
    </w:p>
    <w:p>
      <w:pPr>
        <w:pStyle w:val="ListBullet"/>
      </w:pPr>
      <w:r>
        <w:t>Service lifecycle management</w:t>
      </w:r>
    </w:p>
    <w:p>
      <w:pPr>
        <w:pStyle w:val="ListBullet"/>
      </w:pPr>
      <w:r>
        <w:t>Demand management</w:t>
      </w:r>
    </w:p>
    <w:p>
      <w:pPr>
        <w:pStyle w:val="ListBullet"/>
      </w:pPr>
      <w:r>
        <w:t>Service transition</w:t>
      </w:r>
    </w:p>
    <w:p>
      <w:pPr>
        <w:pStyle w:val="ListBullet"/>
      </w:pPr>
      <w:r>
        <w:t>Operational service reviews</w:t>
      </w:r>
    </w:p>
    <w:p>
      <w:pPr>
        <w:pStyle w:val="Heading2"/>
      </w:pPr>
      <w:r>
        <w:t>Technology Governance Library</w:t>
      </w:r>
    </w:p>
    <w:p>
      <w:pPr>
        <w:pStyle w:val="ListBullet"/>
      </w:pPr>
      <w:r>
        <w:t>Technology standards</w:t>
      </w:r>
    </w:p>
    <w:p>
      <w:pPr>
        <w:pStyle w:val="ListBullet"/>
      </w:pPr>
      <w:r>
        <w:t>Lifecycle governance</w:t>
      </w:r>
    </w:p>
    <w:p>
      <w:pPr>
        <w:pStyle w:val="ListBullet"/>
      </w:pPr>
      <w:r>
        <w:t>Technical debt awareness</w:t>
      </w:r>
    </w:p>
    <w:p>
      <w:pPr>
        <w:pStyle w:val="ListBullet"/>
      </w:pPr>
      <w:r>
        <w:t>Architecture alignment</w:t>
      </w:r>
    </w:p>
    <w:p>
      <w:pPr>
        <w:pStyle w:val="ListBullet"/>
      </w:pPr>
      <w:r>
        <w:t>Platform rationalization</w:t>
      </w:r>
    </w:p>
    <w:p>
      <w:pPr>
        <w:pStyle w:val="ListBullet"/>
      </w:pPr>
      <w:r>
        <w:t>Configuration governance</w:t>
      </w:r>
    </w:p>
    <w:p>
      <w:pPr>
        <w:pStyle w:val="Heading2"/>
      </w:pPr>
      <w:r>
        <w:t>Executive Review Principles</w:t>
      </w:r>
    </w:p>
    <w:p>
      <w:pPr>
        <w:pStyle w:val="ListBullet"/>
      </w:pPr>
      <w:r>
        <w:t>Business value before technical detail.</w:t>
      </w:r>
    </w:p>
    <w:p>
      <w:pPr>
        <w:pStyle w:val="ListBullet"/>
      </w:pPr>
      <w:r>
        <w:t>Leadership before task lists.</w:t>
      </w:r>
    </w:p>
    <w:p>
      <w:pPr>
        <w:pStyle w:val="ListBullet"/>
      </w:pPr>
      <w:r>
        <w:t>Evidence before claims.</w:t>
      </w:r>
    </w:p>
    <w:p>
      <w:pPr>
        <w:pStyle w:val="ListBullet"/>
      </w:pPr>
      <w:r>
        <w:t>Consistency across all generated documents.</w:t>
      </w:r>
    </w:p>
    <w:p>
      <w:pPr>
        <w:pStyle w:val="Heading2"/>
      </w:pPr>
      <w:r>
        <w:t>Production Synchronization Rules</w:t>
      </w:r>
    </w:p>
    <w:p>
      <w:pPr>
        <w:pStyle w:val="ListBullet"/>
      </w:pPr>
      <w:r>
        <w:t>Keep career_library synchronized with MASTER_v4.</w:t>
      </w:r>
    </w:p>
    <w:p>
      <w:pPr>
        <w:pStyle w:val="ListBullet"/>
      </w:pPr>
      <w:r>
        <w:t>Update only after verifying source documents.</w:t>
      </w:r>
    </w:p>
    <w:p>
      <w:pPr>
        <w:pStyle w:val="ListBullet"/>
      </w:pPr>
      <w:r>
        <w:t>Maintain a single Source of Truth for AIJobAssistant.</w:t>
      </w:r>
    </w:p>
    <w:p>
      <w:pPr>
        <w:pStyle w:val="ListBullet"/>
      </w:pPr>
      <w:r>
        <w:t>Preserve PromptBuilder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