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#30</w:t>
      </w:r>
    </w:p>
    <w:p>
      <w:pPr>
        <w:pStyle w:val="Heading2"/>
      </w:pPr>
      <w:r>
        <w:t>Future Technology Library</w:t>
      </w:r>
    </w:p>
    <w:p>
      <w:pPr>
        <w:pStyle w:val="ListBullet"/>
      </w:pPr>
      <w:r>
        <w:t>AI-assisted operations</w:t>
      </w:r>
    </w:p>
    <w:p>
      <w:pPr>
        <w:pStyle w:val="ListBullet"/>
      </w:pPr>
      <w:r>
        <w:t>AI governance</w:t>
      </w:r>
    </w:p>
    <w:p>
      <w:pPr>
        <w:pStyle w:val="ListBullet"/>
      </w:pPr>
      <w:r>
        <w:t>Zero Trust evolution</w:t>
      </w:r>
    </w:p>
    <w:p>
      <w:pPr>
        <w:pStyle w:val="ListBullet"/>
      </w:pPr>
      <w:r>
        <w:t>Cloud security posture</w:t>
      </w:r>
    </w:p>
    <w:p>
      <w:pPr>
        <w:pStyle w:val="ListBullet"/>
      </w:pPr>
      <w:r>
        <w:t>Identity-first security</w:t>
      </w:r>
    </w:p>
    <w:p>
      <w:pPr>
        <w:pStyle w:val="ListBullet"/>
      </w:pPr>
      <w:r>
        <w:t>Data governance</w:t>
      </w:r>
    </w:p>
    <w:p>
      <w:pPr>
        <w:pStyle w:val="ListBullet"/>
      </w:pPr>
      <w:r>
        <w:t>Automation governance</w:t>
      </w:r>
    </w:p>
    <w:p>
      <w:pPr>
        <w:pStyle w:val="ListBullet"/>
      </w:pPr>
      <w:r>
        <w:t>Operational analytics</w:t>
      </w:r>
    </w:p>
    <w:p>
      <w:pPr>
        <w:pStyle w:val="Heading2"/>
      </w:pPr>
      <w:r>
        <w:t>Business Leadership Outcomes</w:t>
      </w:r>
    </w:p>
    <w:p>
      <w:pPr>
        <w:pStyle w:val="ListBullet"/>
      </w:pPr>
      <w:r>
        <w:t>Improved executive confidence</w:t>
      </w:r>
    </w:p>
    <w:p>
      <w:pPr>
        <w:pStyle w:val="ListBullet"/>
      </w:pPr>
      <w:r>
        <w:t>Higher operational reliability</w:t>
      </w:r>
    </w:p>
    <w:p>
      <w:pPr>
        <w:pStyle w:val="ListBullet"/>
      </w:pPr>
      <w:r>
        <w:t>Better governance visibility</w:t>
      </w:r>
    </w:p>
    <w:p>
      <w:pPr>
        <w:pStyle w:val="ListBullet"/>
      </w:pPr>
      <w:r>
        <w:t>Reduced technology risk</w:t>
      </w:r>
    </w:p>
    <w:p>
      <w:pPr>
        <w:pStyle w:val="ListBullet"/>
      </w:pPr>
      <w:r>
        <w:t>Stronger business alignment</w:t>
      </w:r>
    </w:p>
    <w:p>
      <w:pPr>
        <w:pStyle w:val="ListBullet"/>
      </w:pPr>
      <w:r>
        <w:t>Sustainable operational improvement</w:t>
      </w:r>
    </w:p>
    <w:p>
      <w:pPr>
        <w:pStyle w:val="Heading2"/>
      </w:pPr>
      <w:r>
        <w:t>PromptBuilder Reference Rules</w:t>
      </w:r>
    </w:p>
    <w:p>
      <w:pPr>
        <w:pStyle w:val="ListBullet"/>
      </w:pPr>
      <w:r>
        <w:t>PromptBuilder should reference this document only.</w:t>
      </w:r>
    </w:p>
    <w:p>
      <w:pPr>
        <w:pStyle w:val="ListBullet"/>
      </w:pPr>
      <w:r>
        <w:t>Business rules should live here, not inside prompts.</w:t>
      </w:r>
    </w:p>
    <w:p>
      <w:pPr>
        <w:pStyle w:val="ListBullet"/>
      </w:pPr>
      <w:r>
        <w:t>Keep prompts compact by moving reusable knowledge into this library.</w:t>
      </w:r>
    </w:p>
    <w:p>
      <w:pPr>
        <w:pStyle w:val="Heading2"/>
      </w:pPr>
      <w:r>
        <w:t>Release Criteria</w:t>
      </w:r>
    </w:p>
    <w:p>
      <w:pPr>
        <w:pStyle w:val="ListBullet"/>
      </w:pPr>
      <w:r>
        <w:t>Single Source of Truth maintained.</w:t>
      </w:r>
    </w:p>
    <w:p>
      <w:pPr>
        <w:pStyle w:val="ListBullet"/>
      </w:pPr>
      <w:r>
        <w:t>Prompt size optimized.</w:t>
      </w:r>
    </w:p>
    <w:p>
      <w:pPr>
        <w:pStyle w:val="ListBullet"/>
      </w:pPr>
      <w:r>
        <w:t>Knowledge duplication minimized.</w:t>
      </w:r>
    </w:p>
    <w:p>
      <w:pPr>
        <w:pStyle w:val="ListBullet"/>
      </w:pPr>
      <w:r>
        <w:t>Ready for production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