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#32</w:t>
      </w:r>
    </w:p>
    <w:p>
      <w:pPr>
        <w:pStyle w:val="Heading2"/>
      </w:pPr>
      <w:r>
        <w:t>Executive Governance Framework</w:t>
      </w:r>
    </w:p>
    <w:p>
      <w:pPr>
        <w:pStyle w:val="ListBullet"/>
      </w:pPr>
      <w:r>
        <w:t>Business-driven IT governance</w:t>
      </w:r>
    </w:p>
    <w:p>
      <w:pPr>
        <w:pStyle w:val="ListBullet"/>
      </w:pPr>
      <w:r>
        <w:t>Decision accountability</w:t>
      </w:r>
    </w:p>
    <w:p>
      <w:pPr>
        <w:pStyle w:val="ListBullet"/>
      </w:pPr>
      <w:r>
        <w:t>Technology investment governance</w:t>
      </w:r>
    </w:p>
    <w:p>
      <w:pPr>
        <w:pStyle w:val="ListBullet"/>
      </w:pPr>
      <w:r>
        <w:t>Policy ownership</w:t>
      </w:r>
    </w:p>
    <w:p>
      <w:pPr>
        <w:pStyle w:val="ListBullet"/>
      </w:pPr>
      <w:r>
        <w:t>Executive steering committee participation</w:t>
      </w:r>
    </w:p>
    <w:p>
      <w:pPr>
        <w:pStyle w:val="ListBullet"/>
      </w:pPr>
      <w:r>
        <w:t>Performance governance</w:t>
      </w:r>
    </w:p>
    <w:p>
      <w:pPr>
        <w:pStyle w:val="Heading2"/>
      </w:pPr>
      <w:r>
        <w:t>Capability Mapping Library</w:t>
      </w:r>
    </w:p>
    <w:p>
      <w:pPr>
        <w:pStyle w:val="ListBullet"/>
      </w:pPr>
      <w:r>
        <w:t>Strategy</w:t>
      </w:r>
    </w:p>
    <w:p>
      <w:pPr>
        <w:pStyle w:val="ListBullet"/>
      </w:pPr>
      <w:r>
        <w:t>Governance</w:t>
      </w:r>
    </w:p>
    <w:p>
      <w:pPr>
        <w:pStyle w:val="ListBullet"/>
      </w:pPr>
      <w:r>
        <w:t>Operations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Cloud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Service Delivery</w:t>
      </w:r>
    </w:p>
    <w:p>
      <w:pPr>
        <w:pStyle w:val="ListBullet"/>
      </w:pPr>
      <w:r>
        <w:t>Risk</w:t>
      </w:r>
    </w:p>
    <w:p>
      <w:pPr>
        <w:pStyle w:val="ListBullet"/>
      </w:pPr>
      <w:r>
        <w:t>Compliance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Leadership</w:t>
      </w:r>
    </w:p>
    <w:p>
      <w:pPr>
        <w:pStyle w:val="Heading2"/>
      </w:pPr>
      <w:r>
        <w:t>Content Normalization Rules</w:t>
      </w:r>
    </w:p>
    <w:p>
      <w:pPr>
        <w:pStyle w:val="ListBullet"/>
      </w:pPr>
      <w:r>
        <w:t>Use one canonical term for each capability.</w:t>
      </w:r>
    </w:p>
    <w:p>
      <w:pPr>
        <w:pStyle w:val="ListBullet"/>
      </w:pPr>
      <w:r>
        <w:t>Avoid duplicate keywords across sections.</w:t>
      </w:r>
    </w:p>
    <w:p>
      <w:pPr>
        <w:pStyle w:val="ListBullet"/>
      </w:pPr>
      <w:r>
        <w:t>Prefer internationally recognized terminology.</w:t>
      </w:r>
    </w:p>
    <w:p>
      <w:pPr>
        <w:pStyle w:val="ListBullet"/>
      </w:pPr>
      <w:r>
        <w:t>Keep wording reusable for multiple job families.</w:t>
      </w:r>
    </w:p>
    <w:p>
      <w:pPr>
        <w:pStyle w:val="Heading2"/>
      </w:pPr>
      <w:r>
        <w:t>Release Validation</w:t>
      </w:r>
    </w:p>
    <w:p>
      <w:pPr>
        <w:pStyle w:val="ListBullet"/>
      </w:pPr>
      <w:r>
        <w:t>Knowledge libraries consolidated.</w:t>
      </w:r>
    </w:p>
    <w:p>
      <w:pPr>
        <w:pStyle w:val="ListBullet"/>
      </w:pPr>
      <w:r>
        <w:t>Source of Truth preserved.</w:t>
      </w:r>
    </w:p>
    <w:p>
      <w:pPr>
        <w:pStyle w:val="ListBullet"/>
      </w:pPr>
      <w:r>
        <w:t>PromptBuilder compatibility verified.</w:t>
      </w:r>
    </w:p>
    <w:p>
      <w:pPr>
        <w:pStyle w:val="ListBullet"/>
      </w:pPr>
      <w:r>
        <w:t>Ready for next integration with MASTER_v4.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