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#37</w:t>
      </w:r>
    </w:p>
    <w:p>
      <w:pPr>
        <w:pStyle w:val="Heading2"/>
      </w:pPr>
      <w:r>
        <w:t>Final Integration Preparation</w:t>
      </w:r>
    </w:p>
    <w:p>
      <w:pPr>
        <w:pStyle w:val="ListBullet"/>
      </w:pPr>
      <w:r>
        <w:t>Review all knowledge sections for overlap.</w:t>
      </w:r>
    </w:p>
    <w:p>
      <w:pPr>
        <w:pStyle w:val="ListBullet"/>
      </w:pPr>
      <w:r>
        <w:t>Merge duplicated concepts into canonical entries.</w:t>
      </w:r>
    </w:p>
    <w:p>
      <w:pPr>
        <w:pStyle w:val="ListBullet"/>
      </w:pPr>
      <w:r>
        <w:t>Normalize terminology across all libraries.</w:t>
      </w:r>
    </w:p>
    <w:p>
      <w:pPr>
        <w:pStyle w:val="ListBullet"/>
      </w:pPr>
      <w:r>
        <w:t>Verify every capability against the Source of Truth.</w:t>
      </w:r>
    </w:p>
    <w:p>
      <w:pPr>
        <w:pStyle w:val="Heading2"/>
      </w:pPr>
      <w:r>
        <w:t>Knowledge Coverage Matrix</w:t>
      </w:r>
    </w:p>
    <w:p>
      <w:pPr>
        <w:pStyle w:val="ListBullet"/>
      </w:pPr>
      <w:r>
        <w:t>Career History</w:t>
      </w:r>
    </w:p>
    <w:p>
      <w:pPr>
        <w:pStyle w:val="ListBullet"/>
      </w:pPr>
      <w:r>
        <w:t>Leadership</w:t>
      </w:r>
    </w:p>
    <w:p>
      <w:pPr>
        <w:pStyle w:val="ListBullet"/>
      </w:pPr>
      <w:r>
        <w:t>Technology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GRC</w:t>
      </w:r>
    </w:p>
    <w:p>
      <w:pPr>
        <w:pStyle w:val="ListBullet"/>
      </w:pPr>
      <w:r>
        <w:t>Cloud</w:t>
      </w:r>
    </w:p>
    <w:p>
      <w:pPr>
        <w:pStyle w:val="ListBullet"/>
      </w:pPr>
      <w:r>
        <w:t>Enterprise Applications</w:t>
      </w:r>
    </w:p>
    <w:p>
      <w:pPr>
        <w:pStyle w:val="ListBullet"/>
      </w:pPr>
      <w:r>
        <w:t>Industry Experience</w:t>
      </w:r>
    </w:p>
    <w:p>
      <w:pPr>
        <w:pStyle w:val="ListBullet"/>
      </w:pPr>
      <w:r>
        <w:t>ATS Guidance</w:t>
      </w:r>
    </w:p>
    <w:p>
      <w:pPr>
        <w:pStyle w:val="ListBullet"/>
      </w:pPr>
      <w:r>
        <w:t>Writing Guidance</w:t>
      </w:r>
    </w:p>
    <w:p>
      <w:pPr>
        <w:pStyle w:val="ListBullet"/>
      </w:pPr>
      <w:r>
        <w:t>Positioning Guidance</w:t>
      </w:r>
    </w:p>
    <w:p>
      <w:pPr>
        <w:pStyle w:val="Heading2"/>
      </w:pPr>
      <w:r>
        <w:t>Production Release Checklist</w:t>
      </w:r>
    </w:p>
    <w:p>
      <w:pPr>
        <w:pStyle w:val="ListBullet"/>
      </w:pPr>
      <w:r>
        <w:t>All libraries reviewed.</w:t>
      </w:r>
    </w:p>
    <w:p>
      <w:pPr>
        <w:pStyle w:val="ListBullet"/>
      </w:pPr>
      <w:r>
        <w:t>Terminology normalized.</w:t>
      </w:r>
    </w:p>
    <w:p>
      <w:pPr>
        <w:pStyle w:val="ListBullet"/>
      </w:pPr>
      <w:r>
        <w:t>PromptBuilder compatibility confirmed.</w:t>
      </w:r>
    </w:p>
    <w:p>
      <w:pPr>
        <w:pStyle w:val="ListBullet"/>
      </w:pPr>
      <w:r>
        <w:t>Ready for MASTER_v4 consolidation.</w:t>
      </w:r>
    </w:p>
    <w:p>
      <w:pPr>
        <w:pStyle w:val="ListBullet"/>
      </w:pPr>
      <w:r>
        <w:t>Ready for production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