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#38</w:t>
      </w:r>
    </w:p>
    <w:p>
      <w:pPr>
        <w:pStyle w:val="Heading2"/>
      </w:pPr>
      <w:r>
        <w:t>Final Knowledge Domains</w:t>
      </w:r>
    </w:p>
    <w:p>
      <w:pPr>
        <w:pStyle w:val="ListBullet"/>
      </w:pPr>
      <w:r>
        <w:t>Executive Leadership</w:t>
      </w:r>
    </w:p>
    <w:p>
      <w:pPr>
        <w:pStyle w:val="ListBullet"/>
      </w:pPr>
      <w:r>
        <w:t>Business Strategy</w:t>
      </w:r>
    </w:p>
    <w:p>
      <w:pPr>
        <w:pStyle w:val="ListBullet"/>
      </w:pPr>
      <w:r>
        <w:t>IT Governance</w:t>
      </w:r>
    </w:p>
    <w:p>
      <w:pPr>
        <w:pStyle w:val="ListBullet"/>
      </w:pPr>
      <w:r>
        <w:t>Infrastructure</w:t>
      </w:r>
    </w:p>
    <w:p>
      <w:pPr>
        <w:pStyle w:val="ListBullet"/>
      </w:pPr>
      <w:r>
        <w:t>Cybersecurity</w:t>
      </w:r>
    </w:p>
    <w:p>
      <w:pPr>
        <w:pStyle w:val="ListBullet"/>
      </w:pPr>
      <w:r>
        <w:t>Risk &amp; Compliance</w:t>
      </w:r>
    </w:p>
    <w:p>
      <w:pPr>
        <w:pStyle w:val="ListBullet"/>
      </w:pPr>
      <w:r>
        <w:t>Cloud &amp; Modern Workplace</w:t>
      </w:r>
    </w:p>
    <w:p>
      <w:pPr>
        <w:pStyle w:val="ListBullet"/>
      </w:pPr>
      <w:r>
        <w:t>Enterprise Applications</w:t>
      </w:r>
    </w:p>
    <w:p>
      <w:pPr>
        <w:pStyle w:val="ListBullet"/>
      </w:pPr>
      <w:r>
        <w:t>Service Management</w:t>
      </w:r>
    </w:p>
    <w:p>
      <w:pPr>
        <w:pStyle w:val="ListBullet"/>
      </w:pPr>
      <w:r>
        <w:t>Digital Transformation</w:t>
      </w:r>
    </w:p>
    <w:p>
      <w:pPr>
        <w:pStyle w:val="ListBullet"/>
      </w:pPr>
      <w:r>
        <w:t>Manufacturing &amp; OT</w:t>
      </w:r>
    </w:p>
    <w:p>
      <w:pPr>
        <w:pStyle w:val="ListBullet"/>
      </w:pPr>
      <w:r>
        <w:t>Supply Chain &amp; Logistics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General Affairs</w:t>
      </w:r>
    </w:p>
    <w:p>
      <w:pPr>
        <w:pStyle w:val="Heading2"/>
      </w:pPr>
      <w:r>
        <w:t>Canonical Writing Principles</w:t>
      </w:r>
    </w:p>
    <w:p>
      <w:pPr>
        <w:pStyle w:val="ListBullet"/>
      </w:pPr>
      <w:r>
        <w:t>Truthfulness before optimization.</w:t>
      </w:r>
    </w:p>
    <w:p>
      <w:pPr>
        <w:pStyle w:val="ListBullet"/>
      </w:pPr>
      <w:r>
        <w:t>Business impact before responsibilities.</w:t>
      </w:r>
    </w:p>
    <w:p>
      <w:pPr>
        <w:pStyle w:val="ListBullet"/>
      </w:pPr>
      <w:r>
        <w:t>Leadership before activity.</w:t>
      </w:r>
    </w:p>
    <w:p>
      <w:pPr>
        <w:pStyle w:val="ListBullet"/>
      </w:pPr>
      <w:r>
        <w:t>Evidence before claims.</w:t>
      </w:r>
    </w:p>
    <w:p>
      <w:pPr>
        <w:pStyle w:val="ListBullet"/>
      </w:pPr>
      <w:r>
        <w:t>Readability before keyword density.</w:t>
      </w:r>
    </w:p>
    <w:p>
      <w:pPr>
        <w:pStyle w:val="Heading2"/>
      </w:pPr>
      <w:r>
        <w:t>Production Handover</w:t>
      </w:r>
    </w:p>
    <w:p>
      <w:pPr>
        <w:pStyle w:val="ListBullet"/>
      </w:pPr>
      <w:r>
        <w:t>career_library serves as the reusable knowledge base.</w:t>
      </w:r>
    </w:p>
    <w:p>
      <w:pPr>
        <w:pStyle w:val="ListBullet"/>
      </w:pPr>
      <w:r>
        <w:t>MASTER_v4 will extend this with operating rules and templates.</w:t>
      </w:r>
    </w:p>
    <w:p>
      <w:pPr>
        <w:pStyle w:val="ListBullet"/>
      </w:pPr>
      <w:r>
        <w:t>PromptBuilder should consume this document as its primary knowledge source.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