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career_library.docx</w:t>
      </w:r>
    </w:p>
    <w:p>
      <w:r>
        <w:t>Version: v2.0 Working Draft #9</w:t>
      </w:r>
    </w:p>
    <w:p>
      <w:pPr>
        <w:pStyle w:val="Heading2"/>
      </w:pPr>
      <w:r>
        <w:t>Interview Evidence Library</w:t>
      </w:r>
    </w:p>
    <w:p>
      <w:pPr>
        <w:pStyle w:val="ListBullet"/>
      </w:pPr>
      <w:r>
        <w:t>Support answers with verified projects and responsibilities.</w:t>
      </w:r>
    </w:p>
    <w:p>
      <w:pPr>
        <w:pStyle w:val="ListBullet"/>
      </w:pPr>
      <w:r>
        <w:t>Use STAR or CAR only when supported by facts.</w:t>
      </w:r>
    </w:p>
    <w:p>
      <w:pPr>
        <w:pStyle w:val="ListBullet"/>
      </w:pPr>
      <w:r>
        <w:t>Emphasize business outcomes, leadership and decision making.</w:t>
      </w:r>
    </w:p>
    <w:p>
      <w:pPr>
        <w:pStyle w:val="Heading2"/>
      </w:pPr>
      <w:r>
        <w:t>Executive Stakeholder Library</w:t>
      </w:r>
    </w:p>
    <w:p>
      <w:pPr>
        <w:pStyle w:val="ListBullet"/>
      </w:pPr>
      <w:r>
        <w:t>Executive reporting</w:t>
      </w:r>
    </w:p>
    <w:p>
      <w:pPr>
        <w:pStyle w:val="ListBullet"/>
      </w:pPr>
      <w:r>
        <w:t>Regional management coordination</w:t>
      </w:r>
    </w:p>
    <w:p>
      <w:pPr>
        <w:pStyle w:val="ListBullet"/>
      </w:pPr>
      <w:r>
        <w:t>Business unit partnership</w:t>
      </w:r>
    </w:p>
    <w:p>
      <w:pPr>
        <w:pStyle w:val="ListBullet"/>
      </w:pPr>
      <w:r>
        <w:t>Vendor executive communication</w:t>
      </w:r>
    </w:p>
    <w:p>
      <w:pPr>
        <w:pStyle w:val="ListBullet"/>
      </w:pPr>
      <w:r>
        <w:t>Cross-functional governance</w:t>
      </w:r>
    </w:p>
    <w:p>
      <w:pPr>
        <w:pStyle w:val="Heading2"/>
      </w:pPr>
      <w:r>
        <w:t>Operational Excellence Library</w:t>
      </w:r>
    </w:p>
    <w:p>
      <w:pPr>
        <w:pStyle w:val="ListBullet"/>
      </w:pPr>
      <w:r>
        <w:t>SLA improvement</w:t>
      </w:r>
    </w:p>
    <w:p>
      <w:pPr>
        <w:pStyle w:val="ListBullet"/>
      </w:pPr>
      <w:r>
        <w:t>KPI monitoring</w:t>
      </w:r>
    </w:p>
    <w:p>
      <w:pPr>
        <w:pStyle w:val="ListBullet"/>
      </w:pPr>
      <w:r>
        <w:t>Process standardization</w:t>
      </w:r>
    </w:p>
    <w:p>
      <w:pPr>
        <w:pStyle w:val="ListBullet"/>
      </w:pPr>
      <w:r>
        <w:t>Continuous improvement</w:t>
      </w:r>
    </w:p>
    <w:p>
      <w:pPr>
        <w:pStyle w:val="ListBullet"/>
      </w:pPr>
      <w:r>
        <w:t>Operational stability</w:t>
      </w:r>
    </w:p>
    <w:p>
      <w:pPr>
        <w:pStyle w:val="ListBullet"/>
      </w:pPr>
      <w:r>
        <w:t>Service quality management</w:t>
      </w:r>
    </w:p>
    <w:p>
      <w:pPr>
        <w:pStyle w:val="Heading2"/>
      </w:pPr>
      <w:r>
        <w:t>Enterprise Architecture Awareness</w:t>
      </w:r>
    </w:p>
    <w:p>
      <w:pPr>
        <w:pStyle w:val="ListBullet"/>
      </w:pPr>
      <w:r>
        <w:t>Enterprise applications</w:t>
      </w:r>
    </w:p>
    <w:p>
      <w:pPr>
        <w:pStyle w:val="ListBullet"/>
      </w:pPr>
      <w:r>
        <w:t>Infrastructure integration</w:t>
      </w:r>
    </w:p>
    <w:p>
      <w:pPr>
        <w:pStyle w:val="ListBullet"/>
      </w:pPr>
      <w:r>
        <w:t>Identity and access management</w:t>
      </w:r>
    </w:p>
    <w:p>
      <w:pPr>
        <w:pStyle w:val="ListBullet"/>
      </w:pPr>
      <w:r>
        <w:t>Security by design</w:t>
      </w:r>
    </w:p>
    <w:p>
      <w:pPr>
        <w:pStyle w:val="ListBullet"/>
      </w:pPr>
      <w:r>
        <w:t>Business continuity alignment</w:t>
      </w:r>
    </w:p>
    <w:p>
      <w:pPr>
        <w:pStyle w:val="Heading2"/>
      </w:pPr>
      <w:r>
        <w:t>Keyword Normalization</w:t>
      </w:r>
    </w:p>
    <w:p>
      <w:pPr>
        <w:pStyle w:val="ListBullet"/>
      </w:pPr>
      <w:r>
        <w:t>Use consistent terminology across CV and Cover Letter.</w:t>
      </w:r>
    </w:p>
    <w:p>
      <w:pPr>
        <w:pStyle w:val="ListBullet"/>
      </w:pPr>
      <w:r>
        <w:t>Prefer internationally recognized technical terms.</w:t>
      </w:r>
    </w:p>
    <w:p>
      <w:pPr>
        <w:pStyle w:val="ListBullet"/>
      </w:pPr>
      <w:r>
        <w:t>Avoid duplicate synonyms unless required by ATS.</w:t>
      </w:r>
    </w:p>
    <w:p>
      <w:pPr>
        <w:pStyle w:val="Heading2"/>
      </w:pPr>
      <w:r>
        <w:t>Final Knowledge Principles</w:t>
      </w:r>
    </w:p>
    <w:p>
      <w:pPr>
        <w:pStyle w:val="ListBullet"/>
      </w:pPr>
      <w:r>
        <w:t>One verified source of truth.</w:t>
      </w:r>
    </w:p>
    <w:p>
      <w:pPr>
        <w:pStyle w:val="ListBullet"/>
      </w:pPr>
      <w:r>
        <w:t>Business value first.</w:t>
      </w:r>
    </w:p>
    <w:p>
      <w:pPr>
        <w:pStyle w:val="ListBullet"/>
      </w:pPr>
      <w:r>
        <w:t>Recruiter readability.</w:t>
      </w:r>
    </w:p>
    <w:p>
      <w:pPr>
        <w:pStyle w:val="ListBullet"/>
      </w:pPr>
      <w:r>
        <w:t>ATS optimization.</w:t>
      </w:r>
    </w:p>
    <w:p>
      <w:pPr>
        <w:pStyle w:val="ListBullet"/>
      </w:pPr>
      <w:r>
        <w:t>Truthfulness above 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