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#52</w:t>
      </w:r>
    </w:p>
    <w:p>
      <w:pPr>
        <w:pStyle w:val="Heading2"/>
      </w:pPr>
      <w:r>
        <w:t>Canonical Taxonomy</w:t>
      </w:r>
    </w:p>
    <w:p>
      <w:pPr>
        <w:pStyle w:val="ListBullet"/>
      </w:pPr>
      <w:r>
        <w:t>Career Experience</w:t>
      </w:r>
    </w:p>
    <w:p>
      <w:pPr>
        <w:pStyle w:val="ListBullet"/>
      </w:pPr>
      <w:r>
        <w:t>Leadership &amp; Management</w:t>
      </w:r>
    </w:p>
    <w:p>
      <w:pPr>
        <w:pStyle w:val="ListBullet"/>
      </w:pPr>
      <w:r>
        <w:t>Business Domains</w:t>
      </w:r>
    </w:p>
    <w:p>
      <w:pPr>
        <w:pStyle w:val="ListBullet"/>
      </w:pPr>
      <w:r>
        <w:t>Technology &amp; Platforms</w:t>
      </w:r>
    </w:p>
    <w:p>
      <w:pPr>
        <w:pStyle w:val="ListBullet"/>
      </w:pPr>
      <w:r>
        <w:t>Cybersecurity &amp; GRC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Writing &amp; ATS Guidance</w:t>
      </w:r>
    </w:p>
    <w:p>
      <w:pPr>
        <w:pStyle w:val="ListBullet"/>
      </w:pPr>
      <w:r>
        <w:t>Quality Assurance</w:t>
      </w:r>
    </w:p>
    <w:p>
      <w:pPr>
        <w:pStyle w:val="Heading2"/>
      </w:pPr>
      <w:r>
        <w:t>Editorial Normalization</w:t>
      </w:r>
    </w:p>
    <w:p>
      <w:pPr>
        <w:pStyle w:val="ListBullet"/>
      </w:pPr>
      <w:r>
        <w:t>Use identical terminology across all sections.</w:t>
      </w:r>
    </w:p>
    <w:p>
      <w:pPr>
        <w:pStyle w:val="ListBullet"/>
      </w:pPr>
      <w:r>
        <w:t>Replace synonymous headings with one canonical heading.</w:t>
      </w:r>
    </w:p>
    <w:p>
      <w:pPr>
        <w:pStyle w:val="ListBullet"/>
      </w:pPr>
      <w:r>
        <w:t>Keep reusable knowledge separate from workflow instructions.</w:t>
      </w:r>
    </w:p>
    <w:p>
      <w:pPr>
        <w:pStyle w:val="ListBullet"/>
      </w:pPr>
      <w:r>
        <w:t>Maintain concise, business-oriented language.</w:t>
      </w:r>
    </w:p>
    <w:p>
      <w:pPr>
        <w:pStyle w:val="Heading2"/>
      </w:pPr>
      <w:r>
        <w:t>Production Merge Tasks</w:t>
      </w:r>
    </w:p>
    <w:p>
      <w:pPr>
        <w:pStyle w:val="ListBullet"/>
      </w:pPr>
      <w:r>
        <w:t>Merge this working draft into the production edition.</w:t>
      </w:r>
    </w:p>
    <w:p>
      <w:pPr>
        <w:pStyle w:val="ListBullet"/>
      </w:pPr>
      <w:r>
        <w:t>Run a final duplicate review.</w:t>
      </w:r>
    </w:p>
    <w:p>
      <w:pPr>
        <w:pStyle w:val="ListBullet"/>
      </w:pPr>
      <w:r>
        <w:t>Validate against verified career evidence.</w:t>
      </w:r>
    </w:p>
    <w:p>
      <w:pPr>
        <w:pStyle w:val="ListBullet"/>
      </w:pPr>
      <w:r>
        <w:t>Freeze the production baseline for PromptBuilder.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