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Library v2.0</w:t>
      </w:r>
    </w:p>
    <w:p>
      <w:pPr>
        <w:pStyle w:val="Heading2"/>
      </w:pPr>
      <w:r>
        <w:t>Leadership</w:t>
      </w:r>
    </w:p>
    <w:p>
      <w:pPr>
        <w:pStyle w:val="ListBullet"/>
      </w:pPr>
      <w:r>
        <w:t>Leading multicultural IT teams.</w:t>
      </w:r>
    </w:p>
    <w:p>
      <w:pPr>
        <w:pStyle w:val="ListBullet"/>
      </w:pPr>
      <w:r>
        <w:t>Managing stakeholders and executive communication.</w:t>
      </w:r>
    </w:p>
    <w:p>
      <w:pPr>
        <w:pStyle w:val="ListBullet"/>
      </w:pPr>
      <w:r>
        <w:t>Driving organizational change.</w:t>
      </w:r>
    </w:p>
    <w:p>
      <w:pPr>
        <w:pStyle w:val="Heading2"/>
      </w:pPr>
      <w:r>
        <w:t>Digital Transformation</w:t>
      </w:r>
    </w:p>
    <w:p>
      <w:pPr>
        <w:pStyle w:val="ListBullet"/>
      </w:pPr>
      <w:r>
        <w:t>Microsoft 365 modernization.</w:t>
      </w:r>
    </w:p>
    <w:p>
      <w:pPr>
        <w:pStyle w:val="ListBullet"/>
      </w:pPr>
      <w:r>
        <w:t>Azure migration.</w:t>
      </w:r>
    </w:p>
    <w:p>
      <w:pPr>
        <w:pStyle w:val="ListBullet"/>
      </w:pPr>
      <w:r>
        <w:t>Power BI and RPA initiatives.</w:t>
      </w:r>
    </w:p>
    <w:p>
      <w:pPr>
        <w:pStyle w:val="Heading2"/>
      </w:pPr>
      <w:r>
        <w:t>Information Security</w:t>
      </w:r>
    </w:p>
    <w:p>
      <w:pPr>
        <w:pStyle w:val="ListBullet"/>
      </w:pPr>
      <w:r>
        <w:t>ISO 27001 governance.</w:t>
      </w:r>
    </w:p>
    <w:p>
      <w:pPr>
        <w:pStyle w:val="ListBullet"/>
      </w:pPr>
      <w:r>
        <w:t>GDPR and LGPD compliance.</w:t>
      </w:r>
    </w:p>
    <w:p>
      <w:pPr>
        <w:pStyle w:val="ListBullet"/>
      </w:pPr>
      <w:r>
        <w:t>IAM, SSO and MFA implementation.</w:t>
      </w:r>
    </w:p>
    <w:p>
      <w:pPr>
        <w:pStyle w:val="Heading2"/>
      </w:pPr>
      <w:r>
        <w:t>ERP &amp; Business Applications</w:t>
      </w:r>
    </w:p>
    <w:p>
      <w:pPr>
        <w:pStyle w:val="ListBullet"/>
      </w:pPr>
      <w:r>
        <w:t>Oracle ERP support and migration.</w:t>
      </w:r>
    </w:p>
    <w:p>
      <w:pPr>
        <w:pStyle w:val="ListBullet"/>
      </w:pPr>
      <w:r>
        <w:t>Business process improvement.</w:t>
      </w:r>
    </w:p>
    <w:p>
      <w:pPr>
        <w:pStyle w:val="ListBullet"/>
      </w:pPr>
      <w:r>
        <w:t>Cross-functional collaboration.</w:t>
      </w:r>
    </w:p>
    <w:p>
      <w:pPr>
        <w:pStyle w:val="Heading2"/>
      </w:pPr>
      <w:r>
        <w:t>Operational Excellence</w:t>
      </w:r>
    </w:p>
    <w:p>
      <w:pPr>
        <w:pStyle w:val="ListBullet"/>
      </w:pPr>
      <w:r>
        <w:t>Cost optimization.</w:t>
      </w:r>
    </w:p>
    <w:p>
      <w:pPr>
        <w:pStyle w:val="ListBullet"/>
      </w:pPr>
      <w:r>
        <w:t>Service improvement.</w:t>
      </w:r>
    </w:p>
    <w:p>
      <w:pPr>
        <w:pStyle w:val="ListBullet"/>
      </w:pPr>
      <w:r>
        <w:t>Business continuity and disaster recovery.</w:t>
      </w:r>
    </w:p>
    <w:p>
      <w:pPr>
        <w:pStyle w:val="Heading2"/>
      </w:pPr>
      <w:r>
        <w:t>STAR Reminder</w:t>
      </w:r>
    </w:p>
    <w:p>
      <w:pPr>
        <w:pStyle w:val="ListBullet"/>
      </w:pPr>
      <w:r>
        <w:t>Situation</w:t>
      </w:r>
    </w:p>
    <w:p>
      <w:pPr>
        <w:pStyle w:val="ListBullet"/>
      </w:pPr>
      <w:r>
        <w:t>Task</w:t>
      </w:r>
    </w:p>
    <w:p>
      <w:pPr>
        <w:pStyle w:val="ListBullet"/>
      </w:pPr>
      <w:r>
        <w:t>Action</w:t>
      </w:r>
    </w:p>
    <w:p>
      <w:pPr>
        <w:pStyle w:val="ListBullet"/>
      </w:pPr>
      <w:r>
        <w:t>Result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