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 Evidence v2.0</w:t>
      </w:r>
    </w:p>
    <w:p>
      <w:pPr>
        <w:pStyle w:val="Heading2"/>
      </w:pPr>
      <w:r>
        <w:t>TAI Escuela Universitaria de Artes</w:t>
      </w:r>
    </w:p>
    <w:p>
      <w:pPr>
        <w:pStyle w:val="ListBullet"/>
      </w:pPr>
      <w:r>
        <w:t>Managed IT and Information Security for 2,000+ users.</w:t>
      </w:r>
    </w:p>
    <w:p>
      <w:pPr>
        <w:pStyle w:val="ListBullet"/>
      </w:pPr>
      <w:r>
        <w:t>Implemented IAM, SSO, MFA and MDM.</w:t>
      </w:r>
    </w:p>
    <w:p>
      <w:pPr>
        <w:pStyle w:val="ListBullet"/>
      </w:pPr>
      <w:r>
        <w:t>Improved IT service delivery and campus infrastructure.</w:t>
      </w:r>
    </w:p>
    <w:p>
      <w:pPr>
        <w:pStyle w:val="Heading2"/>
      </w:pPr>
      <w:r>
        <w:t>LG Electronics Brazil</w:t>
      </w:r>
    </w:p>
    <w:p>
      <w:pPr>
        <w:pStyle w:val="ListBullet"/>
      </w:pPr>
      <w:r>
        <w:t>Led Azure and Microsoft 365 modernization.</w:t>
      </w:r>
    </w:p>
    <w:p>
      <w:pPr>
        <w:pStyle w:val="ListBullet"/>
      </w:pPr>
      <w:r>
        <w:t>Supported Power BI and RPA initiatives.</w:t>
      </w:r>
    </w:p>
    <w:p>
      <w:pPr>
        <w:pStyle w:val="ListBullet"/>
      </w:pPr>
      <w:r>
        <w:t>Directed LGPD compliance and cybersecurity governance.</w:t>
      </w:r>
    </w:p>
    <w:p>
      <w:pPr>
        <w:pStyle w:val="ListBullet"/>
      </w:pPr>
      <w:r>
        <w:t>Reduced operational costs and improved productivity.</w:t>
      </w:r>
    </w:p>
    <w:p>
      <w:pPr>
        <w:pStyle w:val="Heading2"/>
      </w:pPr>
      <w:r>
        <w:t>LG Electronics Spain</w:t>
      </w:r>
    </w:p>
    <w:p>
      <w:pPr>
        <w:pStyle w:val="ListBullet"/>
      </w:pPr>
      <w:r>
        <w:t>Managed Oracle ERP and enterprise infrastructure.</w:t>
      </w:r>
    </w:p>
    <w:p>
      <w:pPr>
        <w:pStyle w:val="ListBullet"/>
      </w:pPr>
      <w:r>
        <w:t>Implemented GDPR governance and security improvements.</w:t>
      </w:r>
    </w:p>
    <w:p>
      <w:pPr>
        <w:pStyle w:val="ListBullet"/>
      </w:pPr>
      <w:r>
        <w:t>Reduced telecom costs and improved helpdesk efficiency.</w:t>
      </w:r>
    </w:p>
    <w:p>
      <w:pPr>
        <w:pStyle w:val="Heading2"/>
      </w:pPr>
      <w:r>
        <w:t>BANKePOST</w:t>
      </w:r>
    </w:p>
    <w:p>
      <w:pPr>
        <w:pStyle w:val="ListBullet"/>
      </w:pPr>
      <w:r>
        <w:t>Delivered secure banking escrow payment solutions.</w:t>
      </w:r>
    </w:p>
    <w:p>
      <w:pPr>
        <w:pStyle w:val="Heading2"/>
      </w:pPr>
      <w:r>
        <w:t>LG Internet</w:t>
      </w:r>
    </w:p>
    <w:p>
      <w:pPr>
        <w:pStyle w:val="ListBullet"/>
      </w:pPr>
      <w:r>
        <w:t>Managed 24/7 eCommerce and payment gateway operations.</w:t>
      </w:r>
    </w:p>
    <w:p>
      <w:pPr>
        <w:pStyle w:val="Heading2"/>
      </w:pPr>
      <w:r>
        <w:t>LG Electronics</w:t>
      </w:r>
    </w:p>
    <w:p>
      <w:pPr>
        <w:pStyle w:val="ListBullet"/>
      </w:pPr>
      <w:r>
        <w:t>Developed multimedia automation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