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KR" w:hAnsi="Noto Sans KR" w:eastAsia="Noto Sans KR"/>
          <w:b/>
          <w:i w:val="0"/>
          <w:color w:val="1B3A5C"/>
          <w:sz w:val="32"/>
        </w:rPr>
        <w:t>우미글로벌 해외사업팀</w:t>
      </w:r>
    </w:p>
    <w:p/>
    <w:p>
      <w:pPr>
        <w:jc w:val="center"/>
      </w:pPr>
      <w:r>
        <w:rPr>
          <w:rFonts w:ascii="Noto Sans KR" w:hAnsi="Noto Sans KR" w:eastAsia="Noto Sans KR"/>
          <w:b/>
          <w:i w:val="0"/>
          <w:sz w:val="40"/>
        </w:rPr>
        <w:t>미국 주거시장 주간 인텔리전스 리포트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기간: 2026-10-12 ~ 2026-10-19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작성일: 2026년 10월 19일  |  해외사업팀</w:t>
      </w:r>
    </w:p>
    <w:p>
      <w:r>
        <w:br w:type="page"/>
      </w:r>
    </w:p>
    <w:p>
      <w:pPr>
        <w:pBdr>
          <w:bottom w:val="single" w:sz="4" w:space="1" w:color="1B3A5C"/>
        </w:pBdr>
      </w:pPr>
      <w:r>
        <w:rPr>
          <w:rFonts w:ascii="Noto Sans KR" w:hAnsi="Noto Sans KR" w:eastAsia="Noto Sans KR"/>
          <w:b/>
          <w:i w:val="0"/>
          <w:color w:val="1B3A5C"/>
          <w:sz w:val="28"/>
        </w:rPr>
        <w:t>미국 주거시장 인텔리전스 리포트</w:t>
      </w:r>
    </w:p>
    <w:p>
      <w:r>
        <w:rPr>
          <w:rFonts w:ascii="Noto Sans KR" w:hAnsi="Noto Sans KR" w:eastAsia="Noto Sans KR"/>
          <w:b/>
          <w:i w:val="0"/>
          <w:sz w:val="20"/>
        </w:rPr>
        <w:t>우미글로벌 해외사업팀 | 2026-10-12 ~ 2026-10-19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1. 개발 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멀티패밀리 착공 활발 (선벨트·서부 중심):</w:t>
      </w:r>
      <w:r>
        <w:rPr>
          <w:rFonts w:ascii="Noto Sans KR" w:hAnsi="Noto Sans KR" w:eastAsia="Noto Sans KR"/>
          <w:b w:val="0"/>
          <w:i w:val="0"/>
          <w:sz w:val="20"/>
        </w:rPr>
        <w:t xml:space="preserve"> OHT Partners가 텍사스 오스틴에 402유닛 The Barton 착공, High Street Residential(Trammell Crow)이 댈러스에 435유닛 Class A 커뮤니티 착공(DFW·평균 수준), Intracorp이 오스틴 South Congress Avenue에 $1.73억 건설론 확보 후 착공. 캘리포니아에서는 High Street Residential·Barings JV가 레드우드시티 ELCO Yards에 501유닛 착공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학생주거(Student Housing) 공급 가속:</w:t>
      </w:r>
      <w:r>
        <w:rPr>
          <w:rFonts w:ascii="Noto Sans KR" w:hAnsi="Noto Sans KR" w:eastAsia="Noto Sans KR"/>
          <w:b w:val="0"/>
          <w:i w:val="0"/>
          <w:sz w:val="20"/>
        </w:rPr>
        <w:t xml:space="preserve"> Landmark Properties가 필라델피아 University City에 34층·363유닛(909베드) 최고층 학생주거 준공. 908 Group은 게인스빌 UF 인근에 684베드 Chapter House 착공. University of Minnesota는 St. Paul 캠퍼스에 $1억 기숙사 계획 발표. Subtext·FrontRange Capital이 South Carolina 대학 인근 697베드 준공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LA 허가·복합개발 파이프라인 확대(LA·허가 급증):</w:t>
      </w:r>
      <w:r>
        <w:rPr>
          <w:rFonts w:ascii="Noto Sans KR" w:hAnsi="Noto Sans KR" w:eastAsia="Noto Sans KR"/>
          <w:b w:val="0"/>
          <w:i w:val="0"/>
          <w:sz w:val="20"/>
        </w:rPr>
        <w:t xml:space="preserve"> 워너센터 6160 Variel Ave., 패서디나 444 N. Fair Oaks, 웨스트우드 11027 W. Strathmore 등 복수 프로젝트 허가 단계 진행. 컬버시티 ElevenOneEleven(344유닛 복합) $1.33억 착공. Echo Park 2225 Sunset Blvd. 176유닛 준공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뉴욕·뉴저지 고밀 개발:</w:t>
      </w:r>
      <w:r>
        <w:rPr>
          <w:rFonts w:ascii="Noto Sans KR" w:hAnsi="Noto Sans KR" w:eastAsia="Noto Sans KR"/>
          <w:b w:val="0"/>
          <w:i w:val="0"/>
          <w:sz w:val="20"/>
        </w:rPr>
        <w:t xml:space="preserve"> 맨해튼 East Village 50 Third Avenue에 184유닛 복합 착공($2.035억 건설론). 요커스 Ridge Hill에 17층·282유닛 착공. 뉴저지 Rahway 200유닛 Phase 2 착공($6,750만 건설론). 샌프란시스코 1301 Van Ness에 36층 주거타워 예비 허가 신청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고급 틈새 개발:</w:t>
      </w:r>
      <w:r>
        <w:rPr>
          <w:rFonts w:ascii="Noto Sans KR" w:hAnsi="Noto Sans KR" w:eastAsia="Noto Sans KR"/>
          <w:b w:val="0"/>
          <w:i w:val="0"/>
          <w:sz w:val="20"/>
        </w:rPr>
        <w:t xml:space="preserve"> Aimco가 마이애미 Edgewater에 월 $15,000~$25,000 럭셔리 워터프런트 FIVESIXTY 진행. Alliance Residential이 샬럿에 336유닛 Broadstone Enderly Park 10번째 프로젝트 착공 예정. Hillpointe는 네바다 리노에 첫 진출로 358유닛 부지 취득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2. 정책·이슈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 FHA 금융 접근 허용:</w:t>
      </w:r>
      <w:r>
        <w:rPr>
          <w:rFonts w:ascii="Noto Sans KR" w:hAnsi="Noto Sans KR" w:eastAsia="Noto Sans KR"/>
          <w:b w:val="0"/>
          <w:i w:val="0"/>
          <w:sz w:val="20"/>
        </w:rPr>
        <w:t xml:space="preserve"> 미국 HUD가 Build-to-Rent(BTR) 프로젝트에 대해 FHA 신규 건설·취득·재융자 프로그램 적용을 공식 허용. 공급 확대 정책의 일환으로, BTR 섹터의 기관 자금 조달 비용이 낮아질 전망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금리·재융자 리스크 고조:</w:t>
      </w:r>
      <w:r>
        <w:rPr>
          <w:rFonts w:ascii="Noto Sans KR" w:hAnsi="Noto Sans KR" w:eastAsia="Noto Sans KR"/>
          <w:b w:val="0"/>
          <w:i w:val="0"/>
          <w:sz w:val="20"/>
        </w:rPr>
        <w:t xml:space="preserve"> Newmark 보고서에 따르면 $1,790억 규모 저금리 부동산 대출이 재융자 위기에 노출, 78%가 10년물 국채 이상 금리로 차환 필요. CMBS 특별관리(Special Servicing) 비율이 11.49%로 2013년 이후 최고치 기록. 멀티패밀리 가격은 전년 대비 2.56% 하락(Trepp Q2 기준)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건설비 상승 지속:</w:t>
      </w:r>
      <w:r>
        <w:rPr>
          <w:rFonts w:ascii="Noto Sans KR" w:hAnsi="Noto Sans KR" w:eastAsia="Noto Sans KR"/>
          <w:b w:val="0"/>
          <w:i w:val="0"/>
          <w:sz w:val="20"/>
        </w:rPr>
        <w:t xml:space="preserve"> BLS 생산자물가지수(PPI) 기준 9월 건설 자재 가격 전월 대비 0.5% 상승. 보험료는 2019년 대비 대폭 증가(루이지애나 사례: 수익 대비 비중 $4.77→현저히 확대), 아파트 수익성 압박 요인으로 부상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캘리포니아 인허가 개혁:</w:t>
      </w:r>
      <w:r>
        <w:rPr>
          <w:rFonts w:ascii="Noto Sans KR" w:hAnsi="Noto Sans KR" w:eastAsia="Noto Sans KR"/>
          <w:b w:val="0"/>
          <w:i w:val="0"/>
          <w:sz w:val="20"/>
        </w:rPr>
        <w:t xml:space="preserve"> Proposition 45로 CEQA(환경영향평가) 심사 기한 법제화 추진, 주요 프로젝트 비용·지연 감소 목표. LA시는 공실 부동산 활성화 'Vacant to Vibrant' 프로그램에 $50만 그랜트 투입 개시(LA·허가 급증). 마이애미 비치에서는 Live Local Act 활용 3개 개발 프로젝트가 지역 반발로 취소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선벨트 오버서플라이 불균등 해소:</w:t>
      </w:r>
      <w:r>
        <w:rPr>
          <w:rFonts w:ascii="Noto Sans KR" w:hAnsi="Noto Sans KR" w:eastAsia="Noto Sans KR"/>
          <w:b w:val="0"/>
          <w:i w:val="0"/>
          <w:sz w:val="20"/>
        </w:rPr>
        <w:t xml:space="preserve"> Sun Belt 멀티패밀리 시장은 공급 과잉 해소 속도가 지역별로 상이. 임대인 측 유인책·공실 부담이 시장마다 다르게 나타나며 2027년 예산 편성 전략 재조정 사례 증가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3. 거래현황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학생주거 대형 매각 집중:</w:t>
      </w:r>
      <w:r>
        <w:rPr>
          <w:rFonts w:ascii="Noto Sans KR" w:hAnsi="Noto Sans KR" w:eastAsia="Noto Sans KR"/>
          <w:b w:val="0"/>
          <w:i w:val="0"/>
          <w:sz w:val="20"/>
        </w:rPr>
        <w:t xml:space="preserve"> San Jose State 인근 The Grad San Jose(260유닛·1,035베드)가 Coastal Ridge·Brookfield JV에 $2.047억에 매각, IPA(Marcus &amp; Millichap) 중개. FIU 인근 학생주거 타워는 비영리 채권 구조로 $1.69억에 거래. Blackstone 오하이오 학생주거 자산도 매각. 학생주거 섹터 자본 집중도 두드러짐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멀티패밀리 주요 기관 거래:</w:t>
      </w:r>
      <w:r>
        <w:rPr>
          <w:rFonts w:ascii="Noto Sans KR" w:hAnsi="Noto Sans KR" w:eastAsia="Noto Sans KR"/>
          <w:b w:val="0"/>
          <w:i w:val="0"/>
          <w:sz w:val="20"/>
        </w:rPr>
        <w:t xml:space="preserve"> Hines Global Income Trust가 애틀랜타 Buckhead 99 West Paces 312유닛 $2.378억 취득(ATL·평균 수준). TruAmerica가 던우디 Bricks at Perimeter Center 446유닛 추가 취득으로 애틀랜타 메트로 3,000유닛 돌파(ATL·평균 수준). Kennedy Wilson·Hulic·Fuyo General Lease JV(일본 자본 포함)가 산호세 One South Market 312유닛 $1.76억 취득, 인근 다른 타워와 합산 $3.8억 규모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대형 포트폴리오 파이낸싱·재융자:</w:t>
      </w:r>
      <w:r>
        <w:rPr>
          <w:rFonts w:ascii="Noto Sans KR" w:hAnsi="Noto Sans KR" w:eastAsia="Noto Sans KR"/>
          <w:b w:val="0"/>
          <w:i w:val="0"/>
          <w:sz w:val="20"/>
        </w:rPr>
        <w:t xml:space="preserve"> JLL이 Thompson Thrift 8개 멀티패밀리 포트폴리오(2,412유닛) 브릿지론 $4.63억 주선. Rithm Capital이 멀티패밀리 대출 $3.75억 증권화. Lennar의 Quarterra 플랫폼 3,746유닛을 TPG Real Estate에 과반 지분 매각하며 직접 소유에서 후퇴. Terra가 마이애미 비치 콘도 타워에 $5.07억 대출 확보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글로벌 자본 유입 뚜렷:</w:t>
      </w:r>
      <w:r>
        <w:rPr>
          <w:rFonts w:ascii="Noto Sans KR" w:hAnsi="Noto Sans KR" w:eastAsia="Noto Sans KR"/>
          <w:b w:val="0"/>
          <w:i w:val="0"/>
          <w:sz w:val="20"/>
        </w:rPr>
        <w:t xml:space="preserve"> 일본계(Hulic·Fuyo General Lease)가 산호세 멀티패밀리 JV 참여. 스웨덴 EQT Real Estate가 미국 부동산 투자사 Stockbridge($165억 운용) $3.75억에 인수. 브루클린계 채권 구조를 활용한 비영리 주체의 학생주거 인수 등 다양한 자본 구조 등장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달라스 복합 거래(DFW·평균 수준):</w:t>
      </w:r>
      <w:r>
        <w:rPr>
          <w:rFonts w:ascii="Noto Sans KR" w:hAnsi="Noto Sans KR" w:eastAsia="Noto Sans KR"/>
          <w:b w:val="0"/>
          <w:i w:val="0"/>
          <w:sz w:val="20"/>
        </w:rPr>
        <w:t xml:space="preserve"> Hines가 Bishop Arts 지구 Class A 멀티패밀리 4개동+리테일 포트폴리오 매입. Marcus &amp; Millichap이 댈러스 부실(Distressed) 멀티패밀리 2개 자산 중개 매각. SMBC가 댈러스·필라델피아 멀티패밀리 $1.08억 리파이낸싱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시장 데이터(공급) — WATCH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Noto Sans KR" w:hAnsi="Noto Sans KR" w:eastAsia="Noto Sans KR"/>
                <w:b/>
                <w:i w:val="0"/>
                <w:sz w:val="18"/>
              </w:rPr>
              <w:t>지역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/>
                <w:i w:val="0"/>
                <w:sz w:val="18"/>
              </w:rPr>
              <w:t>최근 12개월 건축허가(5유닛 이상)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/>
                <w:i w:val="0"/>
                <w:sz w:val="18"/>
              </w:rPr>
              <w:t>3년 평균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/>
                <w:i w:val="0"/>
                <w:sz w:val="18"/>
              </w:rPr>
              <w:t>평균 대비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/>
                <w:i w:val="0"/>
                <w:sz w:val="18"/>
              </w:rPr>
              <w:t>판정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/>
                <w:i w:val="0"/>
                <w:sz w:val="18"/>
              </w:rPr>
              <w:t>2027 예상 준공</w:t>
            </w:r>
          </w:p>
        </w:tc>
      </w:tr>
      <w:tr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ATL · Atlanta-Sandy Springs-Roswell, GA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12,140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13,303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91%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평균 수준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9,878</w:t>
            </w:r>
          </w:p>
        </w:tc>
      </w:tr>
      <w:tr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DFW · Dallas-Fort Worth-Arlington, TX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21,557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23,649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91%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평균 수준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27,018</w:t>
            </w:r>
          </w:p>
        </w:tc>
      </w:tr>
      <w:tr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LA · Los Angeles-Long Beach-Anaheim, CA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21,086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14,428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146%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허가 급증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14,566</w:t>
            </w:r>
          </w:p>
        </w:tc>
      </w:tr>
      <w:tr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SEA · Seattle-Tacoma-Bellevue, WA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12,983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9,760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133%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허가 급증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8,220</w:t>
            </w:r>
          </w:p>
        </w:tc>
      </w:tr>
      <w:tr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DEN · Denver-Aurora-Centennial, CO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7,738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9,140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85%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평균 수준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8,308</w:t>
            </w:r>
          </w:p>
        </w:tc>
      </w:tr>
      <w:tr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PHX · Phoenix-Mesa-Chandler, AZ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13,365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15,277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88%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평균 수준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14,260</w:t>
            </w:r>
          </w:p>
        </w:tc>
      </w:tr>
      <w:tr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COMO · Columbia, MO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판정 제외(물량 부족)</w:t>
            </w:r>
          </w:p>
        </w:tc>
        <w:tc>
          <w:tcPr>
            <w:tcW w:type="dxa" w:w="1560"/>
          </w:tcPr>
          <w:p>
            <w:r>
              <w:rPr>
                <w:rFonts w:ascii="Noto Sans KR" w:hAnsi="Noto Sans KR" w:eastAsia="Noto Sans KR"/>
                <w:b w:val="0"/>
                <w:i w:val="0"/>
                <w:sz w:val="18"/>
              </w:rPr>
              <w:t>—</w:t>
            </w:r>
          </w:p>
        </w:tc>
      </w:tr>
    </w:tbl>
    <w:p>
      <w:r>
        <w:rPr>
          <w:rFonts w:ascii="Noto Sans KR" w:hAnsi="Noto Sans KR" w:eastAsia="Noto Sans KR"/>
          <w:b w:val="0"/>
          <w:i w:val="0"/>
          <w:sz w:val="20"/>
        </w:rPr>
        <w:t>기준월 2026-08 · 규칙 v1 · 출처 Census BPS·SOC</w:t>
      </w:r>
    </w:p>
    <w:p>
      <w:r>
        <w:rPr>
          <w:rFonts w:ascii="Noto Sans KR" w:hAnsi="Noto Sans KR" w:eastAsia="Noto Sans KR"/>
          <w:b w:val="0"/>
          <w:i w:val="0"/>
          <w:sz w:val="20"/>
        </w:rPr>
        <w:t>준공 예상은 SOC 지역 평균 lag(20+유닛) 적용 추정치 — 미착공·취소 미반영. 판정 제외는 3년 평균 1,000유닛/년 미만 또는 데이터 없음.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4. 시사점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학생주거(Student Housing) GP 파트너십 최우선 검토:</w:t>
      </w:r>
      <w:r>
        <w:rPr>
          <w:rFonts w:ascii="Noto Sans KR" w:hAnsi="Noto Sans KR" w:eastAsia="Noto Sans KR"/>
          <w:b w:val="0"/>
          <w:i w:val="0"/>
          <w:sz w:val="20"/>
        </w:rPr>
        <w:t xml:space="preserve"> 이번 주에만 $2.047억(San Jose), $1.69억(FIU), Blackstone 오하이오 자산 등 대형 학생주거 거래가 집중 발생. Brookfield·Coastal Ridge·908 Group 등 전문 운영사가 주도하는 JV 구조가 반복적으로 등장. 우미글로벌은 학생주거 섹터 전문 GP와의 공동투자(Co-GP 또는 LP) 구조 진입 가능성을 구체화할 시점. $95M~$205M 딜 레인지가 기관 진입 적정 규모임을 확인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 FHA 금융 허용 → 신규 진입 비용 구조 재검토 기회:</w:t>
      </w:r>
      <w:r>
        <w:rPr>
          <w:rFonts w:ascii="Noto Sans KR" w:hAnsi="Noto Sans KR" w:eastAsia="Noto Sans KR"/>
          <w:b w:val="0"/>
          <w:i w:val="0"/>
          <w:sz w:val="20"/>
        </w:rPr>
        <w:t xml:space="preserve"> HUD의 BTR FHA 프로그램 적용 확대로 BTR 프로젝트의 자금 조달 비용이 구조적으로 낮아질 수 있음. 기존 컨벤셔널 건설론 대비 유리한 조건 확보 가능성이 생긴 만큼, 우미글로벌이 BTR 섹터 진입을 검토할 경우 FHA 파이낸싱 구조를 우선 설계 옵션으로 고려할 것을 권고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일본계 자본의 미국 멀티패밀리 직접 참여 → 한국 자본의 포지셔닝 시사:</w:t>
      </w:r>
      <w:r>
        <w:rPr>
          <w:rFonts w:ascii="Noto Sans KR" w:hAnsi="Noto Sans KR" w:eastAsia="Noto Sans KR"/>
          <w:b w:val="0"/>
          <w:i w:val="0"/>
          <w:sz w:val="20"/>
        </w:rPr>
        <w:t xml:space="preserve"> Hulic·Fuyo General Lease가 Kennedy Wilson과 JV로 산호세 멀티패밀리 $1.76억 직접 거래에 참여한 사례는, 아시아계 기관 자본이 LP 간접투자를 넘어 Co-GP·JV 구조로 전환 중임을 보여줌. 우미글로벌도 신뢰도 높은 로컬 GP(Kennedy Wilson, High Street Residential 등)와의 JV 구조를 통해 직접 딜 소싱 경로를 확보하는 전략이 유효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재융자 리스크 국면 = 자산 선별 매입 기회:</w:t>
      </w:r>
      <w:r>
        <w:rPr>
          <w:rFonts w:ascii="Noto Sans KR" w:hAnsi="Noto Sans KR" w:eastAsia="Noto Sans KR"/>
          <w:b w:val="0"/>
          <w:i w:val="0"/>
          <w:sz w:val="20"/>
        </w:rPr>
        <w:t xml:space="preserve"> Newmark 집계 $1,790억 재융자 위험 노출, CMBS 특별관리 비율 11.49%(13년래 최고), Nord Group 4,000유닛 포트폴리오 파산·압류 사태 등은 단기적으로 우량 자산의 디스트레스드 매각 기회를 창출할 수 있음. 단, 건설비·보험료 상승이 운영 마진을 지속 압박하고 있어 취득 후 운영 비용 구조에 대한 철저한 사전 검증이 필수</w:t>
      </w:r>
    </w:p>
    <w:p>
      <w:pPr>
        <w:pBdr>
          <w:bottom w:val="single" w:sz="4" w:space="1" w:color="1B3A5C"/>
        </w:pBdr>
      </w:pPr>
    </w:p>
    <w:p>
      <w:r>
        <w:rPr>
          <w:rFonts w:ascii="Noto Sans KR" w:hAnsi="Noto Sans KR" w:eastAsia="Noto Sans KR"/>
          <w:b w:val="0"/>
          <w:i w:val="0"/>
          <w:sz w:val="20"/>
        </w:rPr>
        <w:t>*본 리포트는 2026-10-12~10-19 수집 기사 100건을 기반으로 작성되었습니다. 우미글로벌 해외사업팀 내부 참고용입니다.*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/>
        <w:sz w:val="18"/>
      </w:rPr>
      <w:fldChar w:fldCharType="begin"/>
      <w:instrText>PAGE</w:instrText>
      <w:fldChar w:fldCharType="separate"/>
      <w:fldChar w:fldCharType="end"/>
    </w:r>
    <w:r>
      <w:tab/>
      <w:tab/>
    </w:r>
    <w:r>
      <w:rPr>
        <w:rFonts w:ascii="Noto Sans KR" w:hAnsi="Noto Sans KR" w:eastAsia="Noto Sans KR"/>
        <w:b w:val="0"/>
        <w:i w:val="0"/>
        <w:color w:val="999999"/>
        <w:sz w:val="18"/>
      </w:rPr>
      <w:t>2026년 10월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1B3A5C"/>
      </w:pBdr>
    </w:pPr>
    <w:r>
      <w:rPr>
        <w:rFonts w:ascii="Noto Sans KR" w:hAnsi="Noto Sans KR" w:eastAsia="Noto Sans KR"/>
        <w:b w:val="0"/>
        <w:i w:val="0"/>
        <w:color w:val="999999"/>
        <w:sz w:val="20"/>
      </w:rPr>
      <w:t>우미글로벌 해외사업팀 | 대외비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