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Noto Sans KR" w:hAnsi="Noto Sans KR" w:eastAsia="Noto Sans KR"/>
          <w:b/>
          <w:i w:val="0"/>
          <w:color w:val="1B3A5C"/>
          <w:sz w:val="32"/>
        </w:rPr>
        <w:t>우미글로벌 해외사업팀</w:t>
      </w:r>
    </w:p>
    <w:p/>
    <w:p>
      <w:pPr>
        <w:jc w:val="center"/>
      </w:pPr>
      <w:r>
        <w:rPr>
          <w:rFonts w:ascii="Noto Sans KR" w:hAnsi="Noto Sans KR" w:eastAsia="Noto Sans KR"/>
          <w:b/>
          <w:i w:val="0"/>
          <w:sz w:val="40"/>
        </w:rPr>
        <w:t>미국 주거시장 주간 인텔리전스 리포트</w:t>
      </w:r>
    </w:p>
    <w:p/>
    <w:p>
      <w:pPr>
        <w:jc w:val="center"/>
      </w:pPr>
      <w:r>
        <w:rPr>
          <w:rFonts w:ascii="Noto Sans KR" w:hAnsi="Noto Sans KR" w:eastAsia="Noto Sans KR"/>
          <w:b w:val="0"/>
          <w:i w:val="0"/>
          <w:color w:val="999999"/>
          <w:sz w:val="20"/>
        </w:rPr>
        <w:t>기간: 2026-10-08 ~ 2026-10-15</w:t>
      </w:r>
    </w:p>
    <w:p/>
    <w:p>
      <w:pPr>
        <w:jc w:val="center"/>
      </w:pPr>
      <w:r>
        <w:rPr>
          <w:rFonts w:ascii="Noto Sans KR" w:hAnsi="Noto Sans KR" w:eastAsia="Noto Sans KR"/>
          <w:b w:val="0"/>
          <w:i w:val="0"/>
          <w:color w:val="999999"/>
          <w:sz w:val="20"/>
        </w:rPr>
        <w:t>작성일: 2026년 10월 15일  |  해외사업팀</w:t>
      </w:r>
    </w:p>
    <w:p>
      <w:r>
        <w:br w:type="page"/>
      </w:r>
    </w:p>
    <w:p>
      <w:pPr>
        <w:pBdr>
          <w:bottom w:val="single" w:sz="4" w:space="1" w:color="1B3A5C"/>
        </w:pBdr>
      </w:pPr>
      <w:r>
        <w:rPr>
          <w:rFonts w:ascii="Noto Sans KR" w:hAnsi="Noto Sans KR" w:eastAsia="Noto Sans KR"/>
          <w:b/>
          <w:i w:val="0"/>
          <w:color w:val="1B3A5C"/>
          <w:sz w:val="28"/>
        </w:rPr>
        <w:t>우미글로벌 해외사업팀 | 미국 주거시장 인텔리전스 리포트</w:t>
      </w:r>
    </w:p>
    <w:p>
      <w:r>
        <w:rPr>
          <w:rFonts w:ascii="Noto Sans KR" w:hAnsi="Noto Sans KR" w:eastAsia="Noto Sans KR"/>
          <w:b/>
          <w:i w:val="0"/>
          <w:sz w:val="20"/>
        </w:rPr>
        <w:t>기간: 2026-10-08 ~ 2026-10-15</w:t>
      </w:r>
    </w:p>
    <w:p>
      <w:pPr>
        <w:pBdr>
          <w:bottom w:val="single" w:sz="4" w:space="1" w:color="1B3A5C"/>
        </w:pBdr>
      </w:pPr>
    </w:p>
    <w:p/>
    <w:p>
      <w:pPr>
        <w:pBdr>
          <w:bottom w:val="single" w:sz="4" w:space="1" w:color="2E75B6"/>
        </w:pBdr>
      </w:pPr>
      <w:r>
        <w:rPr>
          <w:rFonts w:ascii="Noto Sans KR" w:hAnsi="Noto Sans KR" w:eastAsia="Noto Sans KR"/>
          <w:b/>
          <w:i w:val="0"/>
          <w:color w:val="2E75B6"/>
          <w:sz w:val="26"/>
        </w:rPr>
        <w:t>1. 개발 현황</w:t>
      </w:r>
    </w:p>
    <w:p>
      <w:pPr>
        <w:pStyle w:val="ListBullet"/>
        <w:ind w:left="360"/>
      </w:pPr>
      <w:r>
        <w:rPr>
          <w:rFonts w:ascii="Noto Sans KR" w:hAnsi="Noto Sans KR" w:eastAsia="Noto Sans KR"/>
          <w:b w:val="0"/>
          <w:i w:val="0"/>
          <w:sz w:val="20"/>
        </w:rPr>
      </w:r>
      <w:r>
        <w:rPr>
          <w:rFonts w:ascii="Noto Sans KR" w:hAnsi="Noto Sans KR" w:eastAsia="Noto Sans KR"/>
          <w:b/>
          <w:i w:val="0"/>
          <w:sz w:val="20"/>
        </w:rPr>
        <w:t>멀티패밀리 착공 활발 (오스틴·댈러스·뉴욕권):</w:t>
      </w:r>
      <w:r>
        <w:rPr>
          <w:rFonts w:ascii="Noto Sans KR" w:hAnsi="Noto Sans KR" w:eastAsia="Noto Sans KR"/>
          <w:b w:val="0"/>
          <w:i w:val="0"/>
          <w:sz w:val="20"/>
        </w:rPr>
        <w:t xml:space="preserve"> OHT Partners가 Southwest Austin에 402유닛 The Barton 착공; High Street Residential(Trammell Crow)·Acram Group JV가 Dallas에 435유닛 Class A 착공(DFW·평년); Saber-Hightower 외 JV가 Yonkers에 17층 282유닛 착공 — 텍사스 및 대도시권 중심의 신규 공급 지속.</w:t>
      </w:r>
    </w:p>
    <w:p>
      <w:pPr>
        <w:pStyle w:val="ListBullet"/>
        <w:ind w:left="360"/>
      </w:pPr>
      <w:r>
        <w:rPr>
          <w:rFonts w:ascii="Noto Sans KR" w:hAnsi="Noto Sans KR" w:eastAsia="Noto Sans KR"/>
          <w:b w:val="0"/>
          <w:i w:val="0"/>
          <w:sz w:val="20"/>
        </w:rPr>
      </w:r>
      <w:r>
        <w:rPr>
          <w:rFonts w:ascii="Noto Sans KR" w:hAnsi="Noto Sans KR" w:eastAsia="Noto Sans KR"/>
          <w:b/>
          <w:i w:val="0"/>
          <w:sz w:val="20"/>
        </w:rPr>
        <w:t>피닉스·템피 대형 프로젝트 진행:</w:t>
      </w:r>
      <w:r>
        <w:rPr>
          <w:rFonts w:ascii="Noto Sans KR" w:hAnsi="Noto Sans KR" w:eastAsia="Noto Sans KR"/>
          <w:b w:val="0"/>
          <w:i w:val="0"/>
          <w:sz w:val="20"/>
        </w:rPr>
        <w:t xml:space="preserve"> Empire Group이 Tempe에 $2.88억 규모 2개 타워(15층) 착공(PHX·평년); Värde Partners가 피닉스 BTR 커뮤니티 Village at Sonoran Vista를 신규 딜리버리 완료 후 $6,550만 리파이낸스(PHX·평년).</w:t>
      </w:r>
    </w:p>
    <w:p>
      <w:pPr>
        <w:pStyle w:val="ListBullet"/>
        <w:ind w:left="360"/>
      </w:pPr>
      <w:r>
        <w:rPr>
          <w:rFonts w:ascii="Noto Sans KR" w:hAnsi="Noto Sans KR" w:eastAsia="Noto Sans KR"/>
          <w:b w:val="0"/>
          <w:i w:val="0"/>
          <w:sz w:val="20"/>
        </w:rPr>
      </w:r>
      <w:r>
        <w:rPr>
          <w:rFonts w:ascii="Noto Sans KR" w:hAnsi="Noto Sans KR" w:eastAsia="Noto Sans KR"/>
          <w:b/>
          <w:i w:val="0"/>
          <w:sz w:val="20"/>
        </w:rPr>
        <w:t>스튜던트 하우징 공급 확대:</w:t>
      </w:r>
      <w:r>
        <w:rPr>
          <w:rFonts w:ascii="Noto Sans KR" w:hAnsi="Noto Sans KR" w:eastAsia="Noto Sans KR"/>
          <w:b w:val="0"/>
          <w:i w:val="0"/>
          <w:sz w:val="20"/>
        </w:rPr>
        <w:t xml:space="preserve"> VERVE Orlando 626베드 오픈(UCF 인근); 필라델피아 University City 최고층 스튜던트 하우징 딜리버리; Texas A&amp;M Innovation Corridor 인근 아파트 착공 — 주요 대학 거점 중심으로 딜리버리·신규 착공 동시 진행.</w:t>
      </w:r>
    </w:p>
    <w:p>
      <w:pPr>
        <w:pStyle w:val="ListBullet"/>
        <w:ind w:left="360"/>
      </w:pPr>
      <w:r>
        <w:rPr>
          <w:rFonts w:ascii="Noto Sans KR" w:hAnsi="Noto Sans KR" w:eastAsia="Noto Sans KR"/>
          <w:b w:val="0"/>
          <w:i w:val="0"/>
          <w:sz w:val="20"/>
        </w:rPr>
      </w:r>
      <w:r>
        <w:rPr>
          <w:rFonts w:ascii="Noto Sans KR" w:hAnsi="Noto Sans KR" w:eastAsia="Noto Sans KR"/>
          <w:b/>
          <w:i w:val="0"/>
          <w:sz w:val="20"/>
        </w:rPr>
        <w:t>캘리포니아 복수 프로젝트 인허가·착공:</w:t>
      </w:r>
      <w:r>
        <w:rPr>
          <w:rFonts w:ascii="Noto Sans KR" w:hAnsi="Noto Sans KR" w:eastAsia="Noto Sans KR"/>
          <w:b w:val="0"/>
          <w:i w:val="0"/>
          <w:sz w:val="20"/>
        </w:rPr>
        <w:t xml:space="preserve"> 공급 급증 시장인 LA에서 Covina 101유닛 승인(LA·공급급증), Warner Center·Pasadena·Westwood 등 복수 사이트 퍼밋 활동; Culver City 344유닛 Mixed-use에 Bank OZK $1.327억 건설자금 조달; SF 321 Florida St 착공 준비.</w:t>
      </w:r>
    </w:p>
    <w:p>
      <w:pPr>
        <w:pStyle w:val="ListBullet"/>
        <w:ind w:left="360"/>
      </w:pPr>
      <w:r>
        <w:rPr>
          <w:rFonts w:ascii="Noto Sans KR" w:hAnsi="Noto Sans KR" w:eastAsia="Noto Sans KR"/>
          <w:b w:val="0"/>
          <w:i w:val="0"/>
          <w:sz w:val="20"/>
        </w:rPr>
      </w:r>
      <w:r>
        <w:rPr>
          <w:rFonts w:ascii="Noto Sans KR" w:hAnsi="Noto Sans KR" w:eastAsia="Noto Sans KR"/>
          <w:b/>
          <w:i w:val="0"/>
          <w:sz w:val="20"/>
        </w:rPr>
        <w:t>어포더블·시니어 주택 진행:</w:t>
      </w:r>
      <w:r>
        <w:rPr>
          <w:rFonts w:ascii="Noto Sans KR" w:hAnsi="Noto Sans KR" w:eastAsia="Noto Sans KR"/>
          <w:b w:val="0"/>
          <w:i w:val="0"/>
          <w:sz w:val="20"/>
        </w:rPr>
        <w:t xml:space="preserve"> Atlanta Housing, Bowen 재개발 2단계 착공(ATL·평년); Alta Housing, Mountain View에 108유닛 착공; 뉴욕 Suffolk County 67유닛 시니어 어포더블 완공.</w:t>
      </w:r>
    </w:p>
    <w:p>
      <w:pPr>
        <w:pBdr>
          <w:bottom w:val="single" w:sz="4" w:space="1" w:color="1B3A5C"/>
        </w:pBdr>
      </w:pPr>
    </w:p>
    <w:p/>
    <w:p>
      <w:pPr>
        <w:pBdr>
          <w:bottom w:val="single" w:sz="4" w:space="1" w:color="2E75B6"/>
        </w:pBdr>
      </w:pPr>
      <w:r>
        <w:rPr>
          <w:rFonts w:ascii="Noto Sans KR" w:hAnsi="Noto Sans KR" w:eastAsia="Noto Sans KR"/>
          <w:b/>
          <w:i w:val="0"/>
          <w:color w:val="2E75B6"/>
          <w:sz w:val="26"/>
        </w:rPr>
        <w:t>2. 정책·이슈</w:t>
      </w:r>
    </w:p>
    <w:p>
      <w:pPr>
        <w:pStyle w:val="ListBullet"/>
        <w:ind w:left="360"/>
      </w:pPr>
      <w:r>
        <w:rPr>
          <w:rFonts w:ascii="Noto Sans KR" w:hAnsi="Noto Sans KR" w:eastAsia="Noto Sans KR"/>
          <w:b w:val="0"/>
          <w:i w:val="0"/>
          <w:sz w:val="20"/>
        </w:rPr>
      </w:r>
      <w:r>
        <w:rPr>
          <w:rFonts w:ascii="Noto Sans KR" w:hAnsi="Noto Sans KR" w:eastAsia="Noto Sans KR"/>
          <w:b/>
          <w:i w:val="0"/>
          <w:sz w:val="20"/>
        </w:rPr>
        <w:t>뉴욕시 임대료 동결 논의 부상:</w:t>
      </w:r>
      <w:r>
        <w:rPr>
          <w:rFonts w:ascii="Noto Sans KR" w:hAnsi="Noto Sans KR" w:eastAsia="Noto Sans KR"/>
          <w:b w:val="0"/>
          <w:i w:val="0"/>
          <w:sz w:val="20"/>
        </w:rPr>
        <w:t xml:space="preserve"> 브루클린 투자자 패널에서 Mamdani 시장의 임대료 동결 제안이 핵심 의제로 부각 — 뉴욕 멀티패밀리 운영 수익성에 대한 투자자 우려 고조.</w:t>
      </w:r>
    </w:p>
    <w:p>
      <w:pPr>
        <w:pStyle w:val="ListBullet"/>
        <w:ind w:left="360"/>
      </w:pPr>
      <w:r>
        <w:rPr>
          <w:rFonts w:ascii="Noto Sans KR" w:hAnsi="Noto Sans KR" w:eastAsia="Noto Sans KR"/>
          <w:b w:val="0"/>
          <w:i w:val="0"/>
          <w:sz w:val="20"/>
        </w:rPr>
      </w:r>
      <w:r>
        <w:rPr>
          <w:rFonts w:ascii="Noto Sans KR" w:hAnsi="Noto Sans KR" w:eastAsia="Noto Sans KR"/>
          <w:b/>
          <w:i w:val="0"/>
          <w:sz w:val="20"/>
        </w:rPr>
        <w:t>마이애미 Live Local Act 역풍:</w:t>
      </w:r>
      <w:r>
        <w:rPr>
          <w:rFonts w:ascii="Noto Sans KR" w:hAnsi="Noto Sans KR" w:eastAsia="Noto Sans KR"/>
          <w:b w:val="0"/>
          <w:i w:val="0"/>
          <w:sz w:val="20"/>
        </w:rPr>
        <w:t xml:space="preserve"> 개발사 Russell Galbut가 Miami Beach에서 Live Local Act 용도지역 우회 방식 3개 타워 프로젝트 철회 — 지역 주민 반대·규제 불확실성이 인센티브 입법 활용의 실질적 한계를 노출.</w:t>
      </w:r>
    </w:p>
    <w:p>
      <w:pPr>
        <w:pStyle w:val="ListBullet"/>
        <w:ind w:left="360"/>
      </w:pPr>
      <w:r>
        <w:rPr>
          <w:rFonts w:ascii="Noto Sans KR" w:hAnsi="Noto Sans KR" w:eastAsia="Noto Sans KR"/>
          <w:b w:val="0"/>
          <w:i w:val="0"/>
          <w:sz w:val="20"/>
        </w:rPr>
      </w:r>
      <w:r>
        <w:rPr>
          <w:rFonts w:ascii="Noto Sans KR" w:hAnsi="Noto Sans KR" w:eastAsia="Noto Sans KR"/>
          <w:b/>
          <w:i w:val="0"/>
          <w:sz w:val="20"/>
        </w:rPr>
        <w:t>시카고 LIHTC 집행 지연 심화:</w:t>
      </w:r>
      <w:r>
        <w:rPr>
          <w:rFonts w:ascii="Noto Sans KR" w:hAnsi="Noto Sans KR" w:eastAsia="Noto Sans KR"/>
          <w:b w:val="0"/>
          <w:i w:val="0"/>
          <w:sz w:val="20"/>
        </w:rPr>
        <w:t xml:space="preserve"> 2023년 배정 13개 프로젝트 중 착공 확인된 건 2개에 그침 — 보조금 배정과 실제 공급 간 괴리가 어포더블 하우징 크레딧 시장 신뢰도에 부담.</w:t>
      </w:r>
    </w:p>
    <w:p>
      <w:pPr>
        <w:pStyle w:val="ListBullet"/>
        <w:ind w:left="360"/>
      </w:pPr>
      <w:r>
        <w:rPr>
          <w:rFonts w:ascii="Noto Sans KR" w:hAnsi="Noto Sans KR" w:eastAsia="Noto Sans KR"/>
          <w:b w:val="0"/>
          <w:i w:val="0"/>
          <w:sz w:val="20"/>
        </w:rPr>
      </w:r>
      <w:r>
        <w:rPr>
          <w:rFonts w:ascii="Noto Sans KR" w:hAnsi="Noto Sans KR" w:eastAsia="Noto Sans KR"/>
          <w:b/>
          <w:i w:val="0"/>
          <w:sz w:val="20"/>
        </w:rPr>
        <w:t>CMBS 특별 관리 비율 10년여 만에 최고:</w:t>
      </w:r>
      <w:r>
        <w:rPr>
          <w:rFonts w:ascii="Noto Sans KR" w:hAnsi="Noto Sans KR" w:eastAsia="Noto Sans KR"/>
          <w:b w:val="0"/>
          <w:i w:val="0"/>
          <w:sz w:val="20"/>
        </w:rPr>
        <w:t xml:space="preserve"> Trepp 기준 CMBS 특별관리 비율이 9월 11.49%로 2013년 2월 이후 최고치 기록 — 상업용 부동산 전반의 대출 스트레스가 멀티패밀리 신규 자금 조달 환경을 압박.</w:t>
      </w:r>
    </w:p>
    <w:p>
      <w:pPr>
        <w:pStyle w:val="ListBullet"/>
        <w:ind w:left="360"/>
      </w:pPr>
      <w:r>
        <w:rPr>
          <w:rFonts w:ascii="Noto Sans KR" w:hAnsi="Noto Sans KR" w:eastAsia="Noto Sans KR"/>
          <w:b w:val="0"/>
          <w:i w:val="0"/>
          <w:sz w:val="20"/>
        </w:rPr>
      </w:r>
      <w:r>
        <w:rPr>
          <w:rFonts w:ascii="Noto Sans KR" w:hAnsi="Noto Sans KR" w:eastAsia="Noto Sans KR"/>
          <w:b/>
          <w:i w:val="0"/>
          <w:sz w:val="20"/>
        </w:rPr>
        <w:t>보험비 급등이 운영비 구조 변화:</w:t>
      </w:r>
      <w:r>
        <w:rPr>
          <w:rFonts w:ascii="Noto Sans KR" w:hAnsi="Noto Sans KR" w:eastAsia="Noto Sans KR"/>
          <w:b w:val="0"/>
          <w:i w:val="0"/>
          <w:sz w:val="20"/>
        </w:rPr>
        <w:t xml:space="preserve"> 루이지애나 사례 기준 아파트 보험비 비율이 2019년 $4.77/$100 수익 → 2025년 대폭 상승 — 선벨트 연안 자산 NOI 압축 요인으로 언더라이팅 시 반드시 반영 필요.</w:t>
      </w:r>
    </w:p>
    <w:p>
      <w:pPr>
        <w:pBdr>
          <w:bottom w:val="single" w:sz="4" w:space="1" w:color="1B3A5C"/>
        </w:pBdr>
      </w:pPr>
    </w:p>
    <w:p/>
    <w:p>
      <w:pPr>
        <w:pBdr>
          <w:bottom w:val="single" w:sz="4" w:space="1" w:color="2E75B6"/>
        </w:pBdr>
      </w:pPr>
      <w:r>
        <w:rPr>
          <w:rFonts w:ascii="Noto Sans KR" w:hAnsi="Noto Sans KR" w:eastAsia="Noto Sans KR"/>
          <w:b/>
          <w:i w:val="0"/>
          <w:color w:val="2E75B6"/>
          <w:sz w:val="26"/>
        </w:rPr>
        <w:t>3. 거래 현황</w:t>
      </w:r>
    </w:p>
    <w:p>
      <w:pPr>
        <w:pStyle w:val="ListBullet"/>
        <w:ind w:left="360"/>
      </w:pPr>
      <w:r>
        <w:rPr>
          <w:rFonts w:ascii="Noto Sans KR" w:hAnsi="Noto Sans KR" w:eastAsia="Noto Sans KR"/>
          <w:b w:val="0"/>
          <w:i w:val="0"/>
          <w:sz w:val="20"/>
        </w:rPr>
      </w:r>
      <w:r>
        <w:rPr>
          <w:rFonts w:ascii="Noto Sans KR" w:hAnsi="Noto Sans KR" w:eastAsia="Noto Sans KR"/>
          <w:b/>
          <w:i w:val="0"/>
          <w:sz w:val="20"/>
        </w:rPr>
        <w:t>대형 멀티패밀리 인수 집중:</w:t>
      </w:r>
      <w:r>
        <w:rPr>
          <w:rFonts w:ascii="Noto Sans KR" w:hAnsi="Noto Sans KR" w:eastAsia="Noto Sans KR"/>
          <w:b w:val="0"/>
          <w:i w:val="0"/>
          <w:sz w:val="20"/>
        </w:rPr>
        <w:t xml:space="preserve"> Hines Global Income Trust가 Atlanta Buckhead 312유닛 99 West Paces를 $2.378억에 매입(ATL·평년); Kennedy Wilson·Hulic·Fuyo General Lease 3자 JV가 San Jose 다운타운 312유닛 인수($3.8억 규모 2건 합산); ORIX Corp. USA가 Austin Strata 322유닛 취득 — 글로벌·아시아계 자본의 미국 멀티패밀리 직접 매입 흐름 확인.</w:t>
      </w:r>
    </w:p>
    <w:p>
      <w:pPr>
        <w:pStyle w:val="ListBullet"/>
        <w:ind w:left="360"/>
      </w:pPr>
      <w:r>
        <w:rPr>
          <w:rFonts w:ascii="Noto Sans KR" w:hAnsi="Noto Sans KR" w:eastAsia="Noto Sans KR"/>
          <w:b w:val="0"/>
          <w:i w:val="0"/>
          <w:sz w:val="20"/>
        </w:rPr>
      </w:r>
      <w:r>
        <w:rPr>
          <w:rFonts w:ascii="Noto Sans KR" w:hAnsi="Noto Sans KR" w:eastAsia="Noto Sans KR"/>
          <w:b/>
          <w:i w:val="0"/>
          <w:sz w:val="20"/>
        </w:rPr>
        <w:t>대규모 리파이낸스·증권화 거래:</w:t>
      </w:r>
      <w:r>
        <w:rPr>
          <w:rFonts w:ascii="Noto Sans KR" w:hAnsi="Noto Sans KR" w:eastAsia="Noto Sans KR"/>
          <w:b w:val="0"/>
          <w:i w:val="0"/>
          <w:sz w:val="20"/>
        </w:rPr>
        <w:t xml:space="preserve"> Walker &amp; Dunlop이 IMT Capital 9개 멀티패밀리 포트폴리오를 Fannie Mae 고정금리 $6.306억 리파이낸스; JSB Capital Group이 Miami Doral 631유닛에 $2.38억 리파이낸스; Rithm Capital이 $3.75억 멀티패밀리 론 증권화 클로징.</w:t>
      </w:r>
    </w:p>
    <w:p>
      <w:pPr>
        <w:pStyle w:val="ListBullet"/>
        <w:ind w:left="360"/>
      </w:pPr>
      <w:r>
        <w:rPr>
          <w:rFonts w:ascii="Noto Sans KR" w:hAnsi="Noto Sans KR" w:eastAsia="Noto Sans KR"/>
          <w:b w:val="0"/>
          <w:i w:val="0"/>
          <w:sz w:val="20"/>
        </w:rPr>
      </w:r>
      <w:r>
        <w:rPr>
          <w:rFonts w:ascii="Noto Sans KR" w:hAnsi="Noto Sans KR" w:eastAsia="Noto Sans KR"/>
          <w:b/>
          <w:i w:val="0"/>
          <w:sz w:val="20"/>
        </w:rPr>
        <w:t>스튜던트 하우징 매각:</w:t>
      </w:r>
      <w:r>
        <w:rPr>
          <w:rFonts w:ascii="Noto Sans KR" w:hAnsi="Noto Sans KR" w:eastAsia="Noto Sans KR"/>
          <w:b w:val="0"/>
          <w:i w:val="0"/>
          <w:sz w:val="20"/>
        </w:rPr>
        <w:t xml:space="preserve"> Blackstone가 오하이오 스튜던트 하우징 자산 매각; FIU 인근 스튜던트 하우징 타워 $1.69억에 거래 — 기관 투자자의 포트폴리오 리밸런싱 및 차익 실현 움직임.</w:t>
      </w:r>
    </w:p>
    <w:p>
      <w:pPr>
        <w:pStyle w:val="ListBullet"/>
        <w:ind w:left="360"/>
      </w:pPr>
      <w:r>
        <w:rPr>
          <w:rFonts w:ascii="Noto Sans KR" w:hAnsi="Noto Sans KR" w:eastAsia="Noto Sans KR"/>
          <w:b w:val="0"/>
          <w:i w:val="0"/>
          <w:sz w:val="20"/>
        </w:rPr>
      </w:r>
      <w:r>
        <w:rPr>
          <w:rFonts w:ascii="Noto Sans KR" w:hAnsi="Noto Sans KR" w:eastAsia="Noto Sans KR"/>
          <w:b/>
          <w:i w:val="0"/>
          <w:sz w:val="20"/>
        </w:rPr>
        <w:t>시니어 하우징 섹터 대형 딜:</w:t>
      </w:r>
      <w:r>
        <w:rPr>
          <w:rFonts w:ascii="Noto Sans KR" w:hAnsi="Noto Sans KR" w:eastAsia="Noto Sans KR"/>
          <w:b w:val="0"/>
          <w:i w:val="0"/>
          <w:sz w:val="20"/>
        </w:rPr>
        <w:t xml:space="preserve"> Brookdale Senior Living이 Welltower로부터 운영 중인 커뮤니티 30개를 $2.9억에 인수 — 오퍼레이터의 자가보유 전략 강화 및 헬스케어 REIT 자산 매각 가속화.</w:t>
      </w:r>
    </w:p>
    <w:p>
      <w:pPr>
        <w:pStyle w:val="ListBullet"/>
        <w:ind w:left="360"/>
      </w:pPr>
      <w:r>
        <w:rPr>
          <w:rFonts w:ascii="Noto Sans KR" w:hAnsi="Noto Sans KR" w:eastAsia="Noto Sans KR"/>
          <w:b w:val="0"/>
          <w:i w:val="0"/>
          <w:sz w:val="20"/>
        </w:rPr>
      </w:r>
      <w:r>
        <w:rPr>
          <w:rFonts w:ascii="Noto Sans KR" w:hAnsi="Noto Sans KR" w:eastAsia="Noto Sans KR"/>
          <w:b/>
          <w:i w:val="0"/>
          <w:sz w:val="20"/>
        </w:rPr>
        <w:t>소형 자산 거래 지속:</w:t>
      </w:r>
      <w:r>
        <w:rPr>
          <w:rFonts w:ascii="Noto Sans KR" w:hAnsi="Noto Sans KR" w:eastAsia="Noto Sans KR"/>
          <w:b w:val="0"/>
          <w:i w:val="0"/>
          <w:sz w:val="20"/>
        </w:rPr>
        <w:t xml:space="preserve"> Van Nuys 24유닛 $525만(LA·공급급증), Anaheim 29유닛 $850만(LA·공급급증), Tulsa 87유닛 매각 등 — 2차 도시·소형 자산 거래도 지속되며 브로커 활동 유지.</w:t>
      </w:r>
    </w:p>
    <w:p>
      <w:pPr>
        <w:pBdr>
          <w:bottom w:val="single" w:sz="4" w:space="1" w:color="1B3A5C"/>
        </w:pBdr>
      </w:pPr>
    </w:p>
    <w:p/>
    <w:p>
      <w:pPr>
        <w:pBdr>
          <w:bottom w:val="single" w:sz="4" w:space="1" w:color="2E75B6"/>
        </w:pBdr>
      </w:pPr>
      <w:r>
        <w:rPr>
          <w:rFonts w:ascii="Noto Sans KR" w:hAnsi="Noto Sans KR" w:eastAsia="Noto Sans KR"/>
          <w:b/>
          <w:i w:val="0"/>
          <w:color w:val="2E75B6"/>
          <w:sz w:val="26"/>
        </w:rPr>
        <w:t>시장 데이터(공급) — WATCH 7</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rFonts w:ascii="Noto Sans KR" w:hAnsi="Noto Sans KR" w:eastAsia="Noto Sans KR"/>
                <w:b/>
                <w:i w:val="0"/>
                <w:sz w:val="18"/>
              </w:rPr>
              <w:t>지역</w:t>
            </w:r>
          </w:p>
        </w:tc>
        <w:tc>
          <w:tcPr>
            <w:tcW w:type="dxa" w:w="1560"/>
          </w:tcPr>
          <w:p>
            <w:r>
              <w:rPr>
                <w:rFonts w:ascii="Noto Sans KR" w:hAnsi="Noto Sans KR" w:eastAsia="Noto Sans KR"/>
                <w:b/>
                <w:i w:val="0"/>
                <w:sz w:val="18"/>
              </w:rPr>
              <w:t>12개월 허가(5+유닛)</w:t>
            </w:r>
          </w:p>
        </w:tc>
        <w:tc>
          <w:tcPr>
            <w:tcW w:type="dxa" w:w="1560"/>
          </w:tcPr>
          <w:p>
            <w:r>
              <w:rPr>
                <w:rFonts w:ascii="Noto Sans KR" w:hAnsi="Noto Sans KR" w:eastAsia="Noto Sans KR"/>
                <w:b/>
                <w:i w:val="0"/>
                <w:sz w:val="18"/>
              </w:rPr>
              <w:t>3년 평균</w:t>
            </w:r>
          </w:p>
        </w:tc>
        <w:tc>
          <w:tcPr>
            <w:tcW w:type="dxa" w:w="1560"/>
          </w:tcPr>
          <w:p>
            <w:r>
              <w:rPr>
                <w:rFonts w:ascii="Noto Sans KR" w:hAnsi="Noto Sans KR" w:eastAsia="Noto Sans KR"/>
                <w:b/>
                <w:i w:val="0"/>
                <w:sz w:val="18"/>
              </w:rPr>
              <w:t>비율</w:t>
            </w:r>
          </w:p>
        </w:tc>
        <w:tc>
          <w:tcPr>
            <w:tcW w:type="dxa" w:w="1560"/>
          </w:tcPr>
          <w:p>
            <w:r>
              <w:rPr>
                <w:rFonts w:ascii="Noto Sans KR" w:hAnsi="Noto Sans KR" w:eastAsia="Noto Sans KR"/>
                <w:b/>
                <w:i w:val="0"/>
                <w:sz w:val="18"/>
              </w:rPr>
              <w:t>판정</w:t>
            </w:r>
          </w:p>
        </w:tc>
        <w:tc>
          <w:tcPr>
            <w:tcW w:type="dxa" w:w="1560"/>
          </w:tcPr>
          <w:p>
            <w:r>
              <w:rPr>
                <w:rFonts w:ascii="Noto Sans KR" w:hAnsi="Noto Sans KR" w:eastAsia="Noto Sans KR"/>
                <w:b/>
                <w:i w:val="0"/>
                <w:sz w:val="18"/>
              </w:rPr>
              <w:t>2027 예상 준공</w:t>
            </w:r>
          </w:p>
        </w:tc>
      </w:tr>
      <w:tr>
        <w:tc>
          <w:tcPr>
            <w:tcW w:type="dxa" w:w="1560"/>
          </w:tcPr>
          <w:p>
            <w:r>
              <w:rPr>
                <w:rFonts w:ascii="Noto Sans KR" w:hAnsi="Noto Sans KR" w:eastAsia="Noto Sans KR"/>
                <w:b w:val="0"/>
                <w:i w:val="0"/>
                <w:sz w:val="18"/>
              </w:rPr>
              <w:t>ATL · Atlanta-Sandy Springs-Roswell, GA</w:t>
            </w:r>
          </w:p>
        </w:tc>
        <w:tc>
          <w:tcPr>
            <w:tcW w:type="dxa" w:w="1560"/>
          </w:tcPr>
          <w:p>
            <w:r>
              <w:rPr>
                <w:rFonts w:ascii="Noto Sans KR" w:hAnsi="Noto Sans KR" w:eastAsia="Noto Sans KR"/>
                <w:b w:val="0"/>
                <w:i w:val="0"/>
                <w:sz w:val="18"/>
              </w:rPr>
              <w:t>12,140</w:t>
            </w:r>
          </w:p>
        </w:tc>
        <w:tc>
          <w:tcPr>
            <w:tcW w:type="dxa" w:w="1560"/>
          </w:tcPr>
          <w:p>
            <w:r>
              <w:rPr>
                <w:rFonts w:ascii="Noto Sans KR" w:hAnsi="Noto Sans KR" w:eastAsia="Noto Sans KR"/>
                <w:b w:val="0"/>
                <w:i w:val="0"/>
                <w:sz w:val="18"/>
              </w:rPr>
              <w:t>13,303</w:t>
            </w:r>
          </w:p>
        </w:tc>
        <w:tc>
          <w:tcPr>
            <w:tcW w:type="dxa" w:w="1560"/>
          </w:tcPr>
          <w:p>
            <w:r>
              <w:rPr>
                <w:rFonts w:ascii="Noto Sans KR" w:hAnsi="Noto Sans KR" w:eastAsia="Noto Sans KR"/>
                <w:b w:val="0"/>
                <w:i w:val="0"/>
                <w:sz w:val="18"/>
              </w:rPr>
              <w:t>0.91</w:t>
            </w:r>
          </w:p>
        </w:tc>
        <w:tc>
          <w:tcPr>
            <w:tcW w:type="dxa" w:w="1560"/>
          </w:tcPr>
          <w:p>
            <w:r>
              <w:rPr>
                <w:rFonts w:ascii="Noto Sans KR" w:hAnsi="Noto Sans KR" w:eastAsia="Noto Sans KR"/>
                <w:b w:val="0"/>
                <w:i w:val="0"/>
                <w:sz w:val="18"/>
              </w:rPr>
              <w:t>평년</w:t>
            </w:r>
          </w:p>
        </w:tc>
        <w:tc>
          <w:tcPr>
            <w:tcW w:type="dxa" w:w="1560"/>
          </w:tcPr>
          <w:p>
            <w:r>
              <w:rPr>
                <w:rFonts w:ascii="Noto Sans KR" w:hAnsi="Noto Sans KR" w:eastAsia="Noto Sans KR"/>
                <w:b w:val="0"/>
                <w:i w:val="0"/>
                <w:sz w:val="18"/>
              </w:rPr>
              <w:t>9,878</w:t>
            </w:r>
          </w:p>
        </w:tc>
      </w:tr>
      <w:tr>
        <w:tc>
          <w:tcPr>
            <w:tcW w:type="dxa" w:w="1560"/>
          </w:tcPr>
          <w:p>
            <w:r>
              <w:rPr>
                <w:rFonts w:ascii="Noto Sans KR" w:hAnsi="Noto Sans KR" w:eastAsia="Noto Sans KR"/>
                <w:b w:val="0"/>
                <w:i w:val="0"/>
                <w:sz w:val="18"/>
              </w:rPr>
              <w:t>DFW · Dallas-Fort Worth-Arlington, TX</w:t>
            </w:r>
          </w:p>
        </w:tc>
        <w:tc>
          <w:tcPr>
            <w:tcW w:type="dxa" w:w="1560"/>
          </w:tcPr>
          <w:p>
            <w:r>
              <w:rPr>
                <w:rFonts w:ascii="Noto Sans KR" w:hAnsi="Noto Sans KR" w:eastAsia="Noto Sans KR"/>
                <w:b w:val="0"/>
                <w:i w:val="0"/>
                <w:sz w:val="18"/>
              </w:rPr>
              <w:t>21,557</w:t>
            </w:r>
          </w:p>
        </w:tc>
        <w:tc>
          <w:tcPr>
            <w:tcW w:type="dxa" w:w="1560"/>
          </w:tcPr>
          <w:p>
            <w:r>
              <w:rPr>
                <w:rFonts w:ascii="Noto Sans KR" w:hAnsi="Noto Sans KR" w:eastAsia="Noto Sans KR"/>
                <w:b w:val="0"/>
                <w:i w:val="0"/>
                <w:sz w:val="18"/>
              </w:rPr>
              <w:t>23,649</w:t>
            </w:r>
          </w:p>
        </w:tc>
        <w:tc>
          <w:tcPr>
            <w:tcW w:type="dxa" w:w="1560"/>
          </w:tcPr>
          <w:p>
            <w:r>
              <w:rPr>
                <w:rFonts w:ascii="Noto Sans KR" w:hAnsi="Noto Sans KR" w:eastAsia="Noto Sans KR"/>
                <w:b w:val="0"/>
                <w:i w:val="0"/>
                <w:sz w:val="18"/>
              </w:rPr>
              <w:t>0.91</w:t>
            </w:r>
          </w:p>
        </w:tc>
        <w:tc>
          <w:tcPr>
            <w:tcW w:type="dxa" w:w="1560"/>
          </w:tcPr>
          <w:p>
            <w:r>
              <w:rPr>
                <w:rFonts w:ascii="Noto Sans KR" w:hAnsi="Noto Sans KR" w:eastAsia="Noto Sans KR"/>
                <w:b w:val="0"/>
                <w:i w:val="0"/>
                <w:sz w:val="18"/>
              </w:rPr>
              <w:t>평년</w:t>
            </w:r>
          </w:p>
        </w:tc>
        <w:tc>
          <w:tcPr>
            <w:tcW w:type="dxa" w:w="1560"/>
          </w:tcPr>
          <w:p>
            <w:r>
              <w:rPr>
                <w:rFonts w:ascii="Noto Sans KR" w:hAnsi="Noto Sans KR" w:eastAsia="Noto Sans KR"/>
                <w:b w:val="0"/>
                <w:i w:val="0"/>
                <w:sz w:val="18"/>
              </w:rPr>
              <w:t>27,018</w:t>
            </w:r>
          </w:p>
        </w:tc>
      </w:tr>
      <w:tr>
        <w:tc>
          <w:tcPr>
            <w:tcW w:type="dxa" w:w="1560"/>
          </w:tcPr>
          <w:p>
            <w:r>
              <w:rPr>
                <w:rFonts w:ascii="Noto Sans KR" w:hAnsi="Noto Sans KR" w:eastAsia="Noto Sans KR"/>
                <w:b w:val="0"/>
                <w:i w:val="0"/>
                <w:sz w:val="18"/>
              </w:rPr>
              <w:t>LA · Los Angeles-Long Beach-Anaheim, CA</w:t>
            </w:r>
          </w:p>
        </w:tc>
        <w:tc>
          <w:tcPr>
            <w:tcW w:type="dxa" w:w="1560"/>
          </w:tcPr>
          <w:p>
            <w:r>
              <w:rPr>
                <w:rFonts w:ascii="Noto Sans KR" w:hAnsi="Noto Sans KR" w:eastAsia="Noto Sans KR"/>
                <w:b w:val="0"/>
                <w:i w:val="0"/>
                <w:sz w:val="18"/>
              </w:rPr>
              <w:t>21,086</w:t>
            </w:r>
          </w:p>
        </w:tc>
        <w:tc>
          <w:tcPr>
            <w:tcW w:type="dxa" w:w="1560"/>
          </w:tcPr>
          <w:p>
            <w:r>
              <w:rPr>
                <w:rFonts w:ascii="Noto Sans KR" w:hAnsi="Noto Sans KR" w:eastAsia="Noto Sans KR"/>
                <w:b w:val="0"/>
                <w:i w:val="0"/>
                <w:sz w:val="18"/>
              </w:rPr>
              <w:t>14,428</w:t>
            </w:r>
          </w:p>
        </w:tc>
        <w:tc>
          <w:tcPr>
            <w:tcW w:type="dxa" w:w="1560"/>
          </w:tcPr>
          <w:p>
            <w:r>
              <w:rPr>
                <w:rFonts w:ascii="Noto Sans KR" w:hAnsi="Noto Sans KR" w:eastAsia="Noto Sans KR"/>
                <w:b w:val="0"/>
                <w:i w:val="0"/>
                <w:sz w:val="18"/>
              </w:rPr>
              <w:t>1.46</w:t>
            </w:r>
          </w:p>
        </w:tc>
        <w:tc>
          <w:tcPr>
            <w:tcW w:type="dxa" w:w="1560"/>
          </w:tcPr>
          <w:p>
            <w:r>
              <w:rPr>
                <w:rFonts w:ascii="Noto Sans KR" w:hAnsi="Noto Sans KR" w:eastAsia="Noto Sans KR"/>
                <w:b w:val="0"/>
                <w:i w:val="0"/>
                <w:sz w:val="18"/>
              </w:rPr>
              <w:t>공급 급증</w:t>
            </w:r>
          </w:p>
        </w:tc>
        <w:tc>
          <w:tcPr>
            <w:tcW w:type="dxa" w:w="1560"/>
          </w:tcPr>
          <w:p>
            <w:r>
              <w:rPr>
                <w:rFonts w:ascii="Noto Sans KR" w:hAnsi="Noto Sans KR" w:eastAsia="Noto Sans KR"/>
                <w:b w:val="0"/>
                <w:i w:val="0"/>
                <w:sz w:val="18"/>
              </w:rPr>
              <w:t>14,566</w:t>
            </w:r>
          </w:p>
        </w:tc>
      </w:tr>
      <w:tr>
        <w:tc>
          <w:tcPr>
            <w:tcW w:type="dxa" w:w="1560"/>
          </w:tcPr>
          <w:p>
            <w:r>
              <w:rPr>
                <w:rFonts w:ascii="Noto Sans KR" w:hAnsi="Noto Sans KR" w:eastAsia="Noto Sans KR"/>
                <w:b w:val="0"/>
                <w:i w:val="0"/>
                <w:sz w:val="18"/>
              </w:rPr>
              <w:t>SEA · Seattle-Tacoma-Bellevue, WA</w:t>
            </w:r>
          </w:p>
        </w:tc>
        <w:tc>
          <w:tcPr>
            <w:tcW w:type="dxa" w:w="1560"/>
          </w:tcPr>
          <w:p>
            <w:r>
              <w:rPr>
                <w:rFonts w:ascii="Noto Sans KR" w:hAnsi="Noto Sans KR" w:eastAsia="Noto Sans KR"/>
                <w:b w:val="0"/>
                <w:i w:val="0"/>
                <w:sz w:val="18"/>
              </w:rPr>
              <w:t>12,983</w:t>
            </w:r>
          </w:p>
        </w:tc>
        <w:tc>
          <w:tcPr>
            <w:tcW w:type="dxa" w:w="1560"/>
          </w:tcPr>
          <w:p>
            <w:r>
              <w:rPr>
                <w:rFonts w:ascii="Noto Sans KR" w:hAnsi="Noto Sans KR" w:eastAsia="Noto Sans KR"/>
                <w:b w:val="0"/>
                <w:i w:val="0"/>
                <w:sz w:val="18"/>
              </w:rPr>
              <w:t>9,760</w:t>
            </w:r>
          </w:p>
        </w:tc>
        <w:tc>
          <w:tcPr>
            <w:tcW w:type="dxa" w:w="1560"/>
          </w:tcPr>
          <w:p>
            <w:r>
              <w:rPr>
                <w:rFonts w:ascii="Noto Sans KR" w:hAnsi="Noto Sans KR" w:eastAsia="Noto Sans KR"/>
                <w:b w:val="0"/>
                <w:i w:val="0"/>
                <w:sz w:val="18"/>
              </w:rPr>
              <w:t>1.33</w:t>
            </w:r>
          </w:p>
        </w:tc>
        <w:tc>
          <w:tcPr>
            <w:tcW w:type="dxa" w:w="1560"/>
          </w:tcPr>
          <w:p>
            <w:r>
              <w:rPr>
                <w:rFonts w:ascii="Noto Sans KR" w:hAnsi="Noto Sans KR" w:eastAsia="Noto Sans KR"/>
                <w:b w:val="0"/>
                <w:i w:val="0"/>
                <w:sz w:val="18"/>
              </w:rPr>
              <w:t>공급 급증</w:t>
            </w:r>
          </w:p>
        </w:tc>
        <w:tc>
          <w:tcPr>
            <w:tcW w:type="dxa" w:w="1560"/>
          </w:tcPr>
          <w:p>
            <w:r>
              <w:rPr>
                <w:rFonts w:ascii="Noto Sans KR" w:hAnsi="Noto Sans KR" w:eastAsia="Noto Sans KR"/>
                <w:b w:val="0"/>
                <w:i w:val="0"/>
                <w:sz w:val="18"/>
              </w:rPr>
              <w:t>8,220</w:t>
            </w:r>
          </w:p>
        </w:tc>
      </w:tr>
      <w:tr>
        <w:tc>
          <w:tcPr>
            <w:tcW w:type="dxa" w:w="1560"/>
          </w:tcPr>
          <w:p>
            <w:r>
              <w:rPr>
                <w:rFonts w:ascii="Noto Sans KR" w:hAnsi="Noto Sans KR" w:eastAsia="Noto Sans KR"/>
                <w:b w:val="0"/>
                <w:i w:val="0"/>
                <w:sz w:val="18"/>
              </w:rPr>
              <w:t>DEN · Denver-Aurora-Centennial, CO</w:t>
            </w:r>
          </w:p>
        </w:tc>
        <w:tc>
          <w:tcPr>
            <w:tcW w:type="dxa" w:w="1560"/>
          </w:tcPr>
          <w:p>
            <w:r>
              <w:rPr>
                <w:rFonts w:ascii="Noto Sans KR" w:hAnsi="Noto Sans KR" w:eastAsia="Noto Sans KR"/>
                <w:b w:val="0"/>
                <w:i w:val="0"/>
                <w:sz w:val="18"/>
              </w:rPr>
              <w:t>7,738</w:t>
            </w:r>
          </w:p>
        </w:tc>
        <w:tc>
          <w:tcPr>
            <w:tcW w:type="dxa" w:w="1560"/>
          </w:tcPr>
          <w:p>
            <w:r>
              <w:rPr>
                <w:rFonts w:ascii="Noto Sans KR" w:hAnsi="Noto Sans KR" w:eastAsia="Noto Sans KR"/>
                <w:b w:val="0"/>
                <w:i w:val="0"/>
                <w:sz w:val="18"/>
              </w:rPr>
              <w:t>9,140</w:t>
            </w:r>
          </w:p>
        </w:tc>
        <w:tc>
          <w:tcPr>
            <w:tcW w:type="dxa" w:w="1560"/>
          </w:tcPr>
          <w:p>
            <w:r>
              <w:rPr>
                <w:rFonts w:ascii="Noto Sans KR" w:hAnsi="Noto Sans KR" w:eastAsia="Noto Sans KR"/>
                <w:b w:val="0"/>
                <w:i w:val="0"/>
                <w:sz w:val="18"/>
              </w:rPr>
              <w:t>0.85</w:t>
            </w:r>
          </w:p>
        </w:tc>
        <w:tc>
          <w:tcPr>
            <w:tcW w:type="dxa" w:w="1560"/>
          </w:tcPr>
          <w:p>
            <w:r>
              <w:rPr>
                <w:rFonts w:ascii="Noto Sans KR" w:hAnsi="Noto Sans KR" w:eastAsia="Noto Sans KR"/>
                <w:b w:val="0"/>
                <w:i w:val="0"/>
                <w:sz w:val="18"/>
              </w:rPr>
              <w:t>평년</w:t>
            </w:r>
          </w:p>
        </w:tc>
        <w:tc>
          <w:tcPr>
            <w:tcW w:type="dxa" w:w="1560"/>
          </w:tcPr>
          <w:p>
            <w:r>
              <w:rPr>
                <w:rFonts w:ascii="Noto Sans KR" w:hAnsi="Noto Sans KR" w:eastAsia="Noto Sans KR"/>
                <w:b w:val="0"/>
                <w:i w:val="0"/>
                <w:sz w:val="18"/>
              </w:rPr>
              <w:t>8,308</w:t>
            </w:r>
          </w:p>
        </w:tc>
      </w:tr>
      <w:tr>
        <w:tc>
          <w:tcPr>
            <w:tcW w:type="dxa" w:w="1560"/>
          </w:tcPr>
          <w:p>
            <w:r>
              <w:rPr>
                <w:rFonts w:ascii="Noto Sans KR" w:hAnsi="Noto Sans KR" w:eastAsia="Noto Sans KR"/>
                <w:b w:val="0"/>
                <w:i w:val="0"/>
                <w:sz w:val="18"/>
              </w:rPr>
              <w:t>PHX · Phoenix-Mesa-Chandler, AZ</w:t>
            </w:r>
          </w:p>
        </w:tc>
        <w:tc>
          <w:tcPr>
            <w:tcW w:type="dxa" w:w="1560"/>
          </w:tcPr>
          <w:p>
            <w:r>
              <w:rPr>
                <w:rFonts w:ascii="Noto Sans KR" w:hAnsi="Noto Sans KR" w:eastAsia="Noto Sans KR"/>
                <w:b w:val="0"/>
                <w:i w:val="0"/>
                <w:sz w:val="18"/>
              </w:rPr>
              <w:t>13,365</w:t>
            </w:r>
          </w:p>
        </w:tc>
        <w:tc>
          <w:tcPr>
            <w:tcW w:type="dxa" w:w="1560"/>
          </w:tcPr>
          <w:p>
            <w:r>
              <w:rPr>
                <w:rFonts w:ascii="Noto Sans KR" w:hAnsi="Noto Sans KR" w:eastAsia="Noto Sans KR"/>
                <w:b w:val="0"/>
                <w:i w:val="0"/>
                <w:sz w:val="18"/>
              </w:rPr>
              <w:t>15,277</w:t>
            </w:r>
          </w:p>
        </w:tc>
        <w:tc>
          <w:tcPr>
            <w:tcW w:type="dxa" w:w="1560"/>
          </w:tcPr>
          <w:p>
            <w:r>
              <w:rPr>
                <w:rFonts w:ascii="Noto Sans KR" w:hAnsi="Noto Sans KR" w:eastAsia="Noto Sans KR"/>
                <w:b w:val="0"/>
                <w:i w:val="0"/>
                <w:sz w:val="18"/>
              </w:rPr>
              <w:t>0.88</w:t>
            </w:r>
          </w:p>
        </w:tc>
        <w:tc>
          <w:tcPr>
            <w:tcW w:type="dxa" w:w="1560"/>
          </w:tcPr>
          <w:p>
            <w:r>
              <w:rPr>
                <w:rFonts w:ascii="Noto Sans KR" w:hAnsi="Noto Sans KR" w:eastAsia="Noto Sans KR"/>
                <w:b w:val="0"/>
                <w:i w:val="0"/>
                <w:sz w:val="18"/>
              </w:rPr>
              <w:t>평년</w:t>
            </w:r>
          </w:p>
        </w:tc>
        <w:tc>
          <w:tcPr>
            <w:tcW w:type="dxa" w:w="1560"/>
          </w:tcPr>
          <w:p>
            <w:r>
              <w:rPr>
                <w:rFonts w:ascii="Noto Sans KR" w:hAnsi="Noto Sans KR" w:eastAsia="Noto Sans KR"/>
                <w:b w:val="0"/>
                <w:i w:val="0"/>
                <w:sz w:val="18"/>
              </w:rPr>
              <w:t>14,260</w:t>
            </w:r>
          </w:p>
        </w:tc>
      </w:tr>
      <w:tr>
        <w:tc>
          <w:tcPr>
            <w:tcW w:type="dxa" w:w="1560"/>
          </w:tcPr>
          <w:p>
            <w:r>
              <w:rPr>
                <w:rFonts w:ascii="Noto Sans KR" w:hAnsi="Noto Sans KR" w:eastAsia="Noto Sans KR"/>
                <w:b w:val="0"/>
                <w:i w:val="0"/>
                <w:sz w:val="18"/>
              </w:rPr>
              <w:t>COMO · Columbia, MO</w:t>
            </w:r>
          </w:p>
        </w:tc>
        <w:tc>
          <w:tcPr>
            <w:tcW w:type="dxa" w:w="1560"/>
          </w:tcPr>
          <w:p>
            <w:r>
              <w:rPr>
                <w:rFonts w:ascii="Noto Sans KR" w:hAnsi="Noto Sans KR" w:eastAsia="Noto Sans KR"/>
                <w:b w:val="0"/>
                <w:i w:val="0"/>
                <w:sz w:val="18"/>
              </w:rPr>
              <w:t>—</w:t>
            </w:r>
          </w:p>
        </w:tc>
        <w:tc>
          <w:tcPr>
            <w:tcW w:type="dxa" w:w="1560"/>
          </w:tcPr>
          <w:p>
            <w:r>
              <w:rPr>
                <w:rFonts w:ascii="Noto Sans KR" w:hAnsi="Noto Sans KR" w:eastAsia="Noto Sans KR"/>
                <w:b w:val="0"/>
                <w:i w:val="0"/>
                <w:sz w:val="18"/>
              </w:rPr>
              <w:t>—</w:t>
            </w:r>
          </w:p>
        </w:tc>
        <w:tc>
          <w:tcPr>
            <w:tcW w:type="dxa" w:w="1560"/>
          </w:tcPr>
          <w:p>
            <w:r>
              <w:rPr>
                <w:rFonts w:ascii="Noto Sans KR" w:hAnsi="Noto Sans KR" w:eastAsia="Noto Sans KR"/>
                <w:b w:val="0"/>
                <w:i w:val="0"/>
                <w:sz w:val="18"/>
              </w:rPr>
              <w:t>—</w:t>
            </w:r>
          </w:p>
        </w:tc>
        <w:tc>
          <w:tcPr>
            <w:tcW w:type="dxa" w:w="1560"/>
          </w:tcPr>
          <w:p>
            <w:r>
              <w:rPr>
                <w:rFonts w:ascii="Noto Sans KR" w:hAnsi="Noto Sans KR" w:eastAsia="Noto Sans KR"/>
                <w:b w:val="0"/>
                <w:i w:val="0"/>
                <w:sz w:val="18"/>
              </w:rPr>
              <w:t>판정불가(물량 부족)</w:t>
            </w:r>
          </w:p>
        </w:tc>
        <w:tc>
          <w:tcPr>
            <w:tcW w:type="dxa" w:w="1560"/>
          </w:tcPr>
          <w:p>
            <w:r>
              <w:rPr>
                <w:rFonts w:ascii="Noto Sans KR" w:hAnsi="Noto Sans KR" w:eastAsia="Noto Sans KR"/>
                <w:b w:val="0"/>
                <w:i w:val="0"/>
                <w:sz w:val="18"/>
              </w:rPr>
              <w:t>—</w:t>
            </w:r>
          </w:p>
        </w:tc>
      </w:tr>
    </w:tbl>
    <w:p>
      <w:r>
        <w:rPr>
          <w:rFonts w:ascii="Noto Sans KR" w:hAnsi="Noto Sans KR" w:eastAsia="Noto Sans KR"/>
          <w:b w:val="0"/>
          <w:i w:val="0"/>
          <w:sz w:val="20"/>
        </w:rPr>
        <w:t>기준월 2026-08 · 규칙 v1 · 출처 Census BPS·SOC</w:t>
      </w:r>
    </w:p>
    <w:p>
      <w:r>
        <w:rPr>
          <w:rFonts w:ascii="Noto Sans KR" w:hAnsi="Noto Sans KR" w:eastAsia="Noto Sans KR"/>
          <w:b w:val="0"/>
          <w:i w:val="0"/>
          <w:sz w:val="20"/>
        </w:rPr>
        <w:t>준공 예상은 SOC 지역 평균 lag(20+유닛) 적용 추정치 — 미착공·취소 미반영. 판정불가는 3년 평균 1,000유닛/년 미만 또는 데이터 없음.</w:t>
      </w:r>
    </w:p>
    <w:p/>
    <w:p>
      <w:pPr>
        <w:pBdr>
          <w:bottom w:val="single" w:sz="4" w:space="1" w:color="2E75B6"/>
        </w:pBdr>
      </w:pPr>
      <w:r>
        <w:rPr>
          <w:rFonts w:ascii="Noto Sans KR" w:hAnsi="Noto Sans KR" w:eastAsia="Noto Sans KR"/>
          <w:b/>
          <w:i w:val="0"/>
          <w:color w:val="2E75B6"/>
          <w:sz w:val="26"/>
        </w:rPr>
        <w:t>4. 시사점</w:t>
      </w:r>
    </w:p>
    <w:p>
      <w:pPr>
        <w:pStyle w:val="ListBullet"/>
        <w:ind w:left="360"/>
      </w:pPr>
      <w:r>
        <w:rPr>
          <w:rFonts w:ascii="Noto Sans KR" w:hAnsi="Noto Sans KR" w:eastAsia="Noto Sans KR"/>
          <w:b w:val="0"/>
          <w:i w:val="0"/>
          <w:sz w:val="20"/>
        </w:rPr>
      </w:r>
      <w:r>
        <w:rPr>
          <w:rFonts w:ascii="Noto Sans KR" w:hAnsi="Noto Sans KR" w:eastAsia="Noto Sans KR"/>
          <w:b/>
          <w:i w:val="0"/>
          <w:sz w:val="20"/>
        </w:rPr>
        <w:t>아시아계 글로벌 자본과의 공동투자 기회 확인:</w:t>
      </w:r>
      <w:r>
        <w:rPr>
          <w:rFonts w:ascii="Noto Sans KR" w:hAnsi="Noto Sans KR" w:eastAsia="Noto Sans KR"/>
          <w:b w:val="0"/>
          <w:i w:val="0"/>
          <w:sz w:val="20"/>
        </w:rPr>
        <w:t xml:space="preserve"> Kennedy Wilson–Hulic–Fuyo General Lease 3자 JV(San Jose), ORIX의 Austin 직접 매입 등 일본계 기관자본이 미국 멀티패밀리 직접 참여를 확대하고 있음. 우미글로벌이 유사 구조로 미국 GP와 공동 LP 포지션을 구성할 경우, 아시아계 공동 파트너를 통해 딜 소싱·리스크 분담 구조를 검토할 수 있음.</w:t>
      </w:r>
    </w:p>
    <w:p>
      <w:pPr>
        <w:pStyle w:val="ListBullet"/>
        <w:ind w:left="360"/>
      </w:pPr>
      <w:r>
        <w:rPr>
          <w:rFonts w:ascii="Noto Sans KR" w:hAnsi="Noto Sans KR" w:eastAsia="Noto Sans KR"/>
          <w:b w:val="0"/>
          <w:i w:val="0"/>
          <w:sz w:val="20"/>
        </w:rPr>
      </w:r>
      <w:r>
        <w:rPr>
          <w:rFonts w:ascii="Noto Sans KR" w:hAnsi="Noto Sans KR" w:eastAsia="Noto Sans KR"/>
          <w:b/>
          <w:i w:val="0"/>
          <w:sz w:val="20"/>
        </w:rPr>
        <w:t>BTR 섹터, 딜리버리 후 리파이낸스 타이밍이 핵심 진입 포인트:</w:t>
      </w:r>
      <w:r>
        <w:rPr>
          <w:rFonts w:ascii="Noto Sans KR" w:hAnsi="Noto Sans KR" w:eastAsia="Noto Sans KR"/>
          <w:b w:val="0"/>
          <w:i w:val="0"/>
          <w:sz w:val="20"/>
        </w:rPr>
        <w:t xml:space="preserve"> 피닉스 BTR Village at Sonoran Vista 사례처럼 신규 딜리버리 후 안정화 초기 단계에서 리파이낸스가 집중되는 패턴 포착. 신규 개발보다 안정화 직전 자산의 지분 인수 또는 대출 참여가 리스크 조정 수익률 측면에서 유리할 수 있음.</w:t>
      </w:r>
    </w:p>
    <w:p>
      <w:pPr>
        <w:pStyle w:val="ListBullet"/>
        <w:ind w:left="360"/>
      </w:pPr>
      <w:r>
        <w:rPr>
          <w:rFonts w:ascii="Noto Sans KR" w:hAnsi="Noto Sans KR" w:eastAsia="Noto Sans KR"/>
          <w:b w:val="0"/>
          <w:i w:val="0"/>
          <w:sz w:val="20"/>
        </w:rPr>
      </w:r>
      <w:r>
        <w:rPr>
          <w:rFonts w:ascii="Noto Sans KR" w:hAnsi="Noto Sans KR" w:eastAsia="Noto Sans KR"/>
          <w:b/>
          <w:i w:val="0"/>
          <w:sz w:val="20"/>
        </w:rPr>
        <w:t>스튜던트 하우징, 대학 거점별 수급 격차 활용 전략 유효:</w:t>
      </w:r>
      <w:r>
        <w:rPr>
          <w:rFonts w:ascii="Noto Sans KR" w:hAnsi="Noto Sans KR" w:eastAsia="Noto Sans KR"/>
          <w:b w:val="0"/>
          <w:i w:val="0"/>
          <w:sz w:val="20"/>
        </w:rPr>
        <w:t xml:space="preserve"> Oregon State($9,480만 건설론), Texas A&amp;M 혁신지구, FIU 인근 $1.69억 매각 등 주요 연구중심 대학 인근 공급은 기관 자본이 적극 참여 중. 우미글로벌이 Affinius Capital·Landmark 등 전문 오퍼레이터와 LP 파트너십을 탐색할 경우, 대학 인근 Class A 스튜던트 하우징이 안정적 수요 기반을 제공함.</w:t>
      </w:r>
    </w:p>
    <w:p>
      <w:pPr>
        <w:pStyle w:val="ListBullet"/>
        <w:ind w:left="360"/>
      </w:pPr>
      <w:r>
        <w:rPr>
          <w:rFonts w:ascii="Noto Sans KR" w:hAnsi="Noto Sans KR" w:eastAsia="Noto Sans KR"/>
          <w:b w:val="0"/>
          <w:i w:val="0"/>
          <w:sz w:val="20"/>
        </w:rPr>
      </w:r>
      <w:r>
        <w:rPr>
          <w:rFonts w:ascii="Noto Sans KR" w:hAnsi="Noto Sans KR" w:eastAsia="Noto Sans KR"/>
          <w:b/>
          <w:i w:val="0"/>
          <w:sz w:val="20"/>
        </w:rPr>
        <w:t>멀티패밀리 가격 조정 구간 — 선별적 매입 타이밍 검토:</w:t>
      </w:r>
      <w:r>
        <w:rPr>
          <w:rFonts w:ascii="Noto Sans KR" w:hAnsi="Noto Sans KR" w:eastAsia="Noto Sans KR"/>
          <w:b w:val="0"/>
          <w:i w:val="0"/>
          <w:sz w:val="20"/>
        </w:rPr>
        <w:t xml:space="preserve"> Trepp 기준 Q2 멀티패밀리 가격이 전년 대비 2.56% 하락하고 CMBS 특별관리율이 11년 만에 최고치를 기록하는 가운데, 복수의 시장 참여자들이 "16년 만의 최적 매입 시기"를 언급. 단, 보험비 급등·운영비 상승이 NOI를 압축하고 있으므로 선벨트 연안 자산은 보험 비용을 보수적으로 반영한 언더라이팅이 필수.</w:t>
      </w:r>
    </w:p>
    <w:p>
      <w:pPr>
        <w:pStyle w:val="ListBullet"/>
        <w:ind w:left="360"/>
      </w:pPr>
      <w:r>
        <w:rPr>
          <w:rFonts w:ascii="Noto Sans KR" w:hAnsi="Noto Sans KR" w:eastAsia="Noto Sans KR"/>
          <w:b w:val="0"/>
          <w:i w:val="0"/>
          <w:sz w:val="20"/>
        </w:rPr>
      </w:r>
      <w:r>
        <w:rPr>
          <w:rFonts w:ascii="Noto Sans KR" w:hAnsi="Noto Sans KR" w:eastAsia="Noto Sans KR"/>
          <w:b/>
          <w:i w:val="0"/>
          <w:sz w:val="20"/>
        </w:rPr>
        <w:t>임대료 동결·Live Local Act 후퇴 등 규제 리스크 지역 모니터링 강화:</w:t>
      </w:r>
      <w:r>
        <w:rPr>
          <w:rFonts w:ascii="Noto Sans KR" w:hAnsi="Noto Sans KR" w:eastAsia="Noto Sans KR"/>
          <w:b w:val="0"/>
          <w:i w:val="0"/>
          <w:sz w:val="20"/>
        </w:rPr>
        <w:t xml:space="preserve"> 뉴욕의 임대료 동결 논의와 Miami Beach의 인센티브 입법 역풍은 규제 환경이 단기에 반전될 수 있음을 시사. 진입 검토 중인 도시에 대해 지역 정치 리스크(임대료 규제·용도변경 불확실성)를 별도 스크리닝 항목으로 관리할 필요가 있음.</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sz w:val="18"/>
      </w:rPr>
      <w:fldChar w:fldCharType="begin"/>
      <w:instrText>PAGE</w:instrText>
      <w:fldChar w:fldCharType="separate"/>
      <w:fldChar w:fldCharType="end"/>
    </w:r>
    <w:r>
      <w:tab/>
      <w:tab/>
    </w:r>
    <w:r>
      <w:rPr>
        <w:rFonts w:ascii="Noto Sans KR" w:hAnsi="Noto Sans KR" w:eastAsia="Noto Sans KR"/>
        <w:b w:val="0"/>
        <w:i w:val="0"/>
        <w:color w:val="999999"/>
        <w:sz w:val="18"/>
      </w:rPr>
      <w:t>2026년 10월</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1B3A5C"/>
      </w:pBdr>
    </w:pPr>
    <w:r>
      <w:rPr>
        <w:rFonts w:ascii="Noto Sans KR" w:hAnsi="Noto Sans KR" w:eastAsia="Noto Sans KR"/>
        <w:b w:val="0"/>
        <w:i w:val="0"/>
        <w:color w:val="999999"/>
        <w:sz w:val="20"/>
      </w:rPr>
      <w:t>우미글로벌 해외사업팀 | 대외비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