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2026-08-17 ~ 2026-08-24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08월 24일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분석기간:** 2026년 8월 17일 ~ 8월 24일 | **총 374건 분석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대규모 공급 집중</w:t>
      </w:r>
      <w:r>
        <w:rPr>
          <w:rFonts w:ascii="Noto Sans KR" w:hAnsi="Noto Sans KR" w:eastAsia="Noto Sans KR"/>
          <w:b w:val="0"/>
          <w:i w:val="0"/>
          <w:sz w:val="20"/>
        </w:rPr>
        <w:t>: University of Michigan Wolverine Village(2,300beds, $649M), University of Utah(1,447beds, $155M), Core Spaces의 Texas A&amp;M 프로젝트(2,201beds) 등 대형 프로젝트가 동시 착공/준공되며 공급 급증. Florida Tech는 등록생 27% 증가에 따라 $96M 프로젝트 추진 중.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시장 본격화</w:t>
      </w:r>
      <w:r>
        <w:rPr>
          <w:rFonts w:ascii="Noto Sans KR" w:hAnsi="Noto Sans KR" w:eastAsia="Noto Sans KR"/>
          <w:b w:val="0"/>
          <w:i w:val="0"/>
          <w:sz w:val="20"/>
        </w:rPr>
        <w:t>: The Charlie ABQ(Albuquerque, 344homes), Stark Enterprises의 Iowa 진출(Blue Creek Village, 164homes), Princeton 지역 Casa Princeton Phase III(162units) 등 BTR 개발이 Sun Belt 외 중소도시로 확산. 기존 아파트와 차별화된 단독주택형 렌탈 수요 확대.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신규착공 감소</w:t>
      </w:r>
      <w:r>
        <w:rPr>
          <w:rFonts w:ascii="Noto Sans KR" w:hAnsi="Noto Sans KR" w:eastAsia="Noto Sans KR"/>
          <w:b w:val="0"/>
          <w:i w:val="0"/>
          <w:sz w:val="20"/>
        </w:rPr>
        <w:t>: HUD/Census 데이터에 따르면 7월 다가구 착공이 YoY 7.1% 하락하며 공급 둔화 신호. 반면 LA County는 상반기 8,800호 인허가로 회복세. JPI의 Gardena 257units, Thompson Thrift의 Birmingham 외곽 300units 등 선별적 개발 지속.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정책자금 유입</w:t>
      </w:r>
      <w:r>
        <w:rPr>
          <w:rFonts w:ascii="Noto Sans KR" w:hAnsi="Noto Sans KR" w:eastAsia="Noto Sans KR"/>
          <w:b w:val="0"/>
          <w:i w:val="0"/>
          <w:sz w:val="20"/>
        </w:rPr>
        <w:t>: California 주정부가 Boyle Heights 프로젝트에 $6.5M 지원, Tustin $175M 개발 착공 등 공공재원 기반 프로젝트 활성화. 주거 부족 해소 위한 정부 인센티브가 개발 동력으로 작용.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Mixed-Use 대형화</w:t>
      </w:r>
      <w:r>
        <w:rPr>
          <w:rFonts w:ascii="Noto Sans KR" w:hAnsi="Noto Sans KR" w:eastAsia="Noto Sans KR"/>
          <w:b w:val="0"/>
          <w:i w:val="0"/>
          <w:sz w:val="20"/>
        </w:rPr>
        <w:t>: OCVibe(Anaheim, $5B 규모 100acre), Boca Raton Broken Sound Residences(494units) 등 스포츠/상업 시설 연계 복합개발이 트렌드. 주거+리테일+오피스 통합 마스터플랜 확대.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연준 금리 동결 기조</w:t>
      </w:r>
      <w:r>
        <w:rPr>
          <w:rFonts w:ascii="Noto Sans KR" w:hAnsi="Noto Sans KR" w:eastAsia="Noto Sans KR"/>
          <w:b w:val="0"/>
          <w:i w:val="0"/>
          <w:sz w:val="20"/>
        </w:rPr>
        <w:t>: FOMC 7월 회의록에서 금리 인하 신중론 유지하며 multifamily 금융시장은 대출 옵션 다변화로 대응. Agency debt와 은행권 대출이 동시 활성화되며 차입 환경 개선 중이나 deal 성사는 여전히 까다로운 상황.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California 주택법 갈등</w:t>
      </w:r>
      <w:r>
        <w:rPr>
          <w:rFonts w:ascii="Noto Sans KR" w:hAnsi="Noto Sans KR" w:eastAsia="Noto Sans KR"/>
          <w:b w:val="0"/>
          <w:i w:val="0"/>
          <w:sz w:val="20"/>
        </w:rPr>
        <w:t>: 대중교통 인근 밀도 증가를 의무화한 주법(state housing law)에 대해 3개 도시가 소송 대응하며 지자체-주정부 간 규제 충돌 심화. 주택공급 확대 vs. 지역 통제권 간 긴장 지속.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NYC Pied-à-Terre Tax 논란</w:t>
      </w:r>
      <w:r>
        <w:rPr>
          <w:rFonts w:ascii="Noto Sans KR" w:hAnsi="Noto Sans KR" w:eastAsia="Noto Sans KR"/>
          <w:b w:val="0"/>
          <w:i w:val="0"/>
          <w:sz w:val="20"/>
        </w:rPr>
        <w:t>: REBNY가 Mamdani 시장의 고가주택세 도입에 즉각 중단 요청. 시행 세부사항 불명확으로 업계 혼란 가중되며 정책 재검토 압력.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인허가 환경 개선</w:t>
      </w:r>
      <w:r>
        <w:rPr>
          <w:rFonts w:ascii="Noto Sans KR" w:hAnsi="Noto Sans KR" w:eastAsia="Noto Sans KR"/>
          <w:b w:val="0"/>
          <w:i w:val="0"/>
          <w:sz w:val="20"/>
        </w:rPr>
        <w:t>: Prosper(TX) 등 신흥 성장지역에서 대규모 mixed-use 프로젝트 인허가 가속화. 지자체들이 경제개발 목적으로 개발친화적 태도 전환 중.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REIT 메가 합병 완료</w:t>
      </w:r>
      <w:r>
        <w:rPr>
          <w:rFonts w:ascii="Noto Sans KR" w:hAnsi="Noto Sans KR" w:eastAsia="Noto Sans KR"/>
          <w:b w:val="0"/>
          <w:i w:val="0"/>
          <w:sz w:val="20"/>
        </w:rPr>
        <w:t>: Equity Residential + AvalonBay 합병으로 Vivmark Residential 출범($70B enterprise value, 184,000units). 미국 최대 아파트 REIT 탄생으로 시장 재편 본격화. Camden CEO는 "경쟁 영향 없음" 언급하며 Sun Belt 집중 전략 견지.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대형 거래 활발</w:t>
      </w:r>
      <w:r>
        <w:rPr>
          <w:rFonts w:ascii="Noto Sans KR" w:hAnsi="Noto Sans KR" w:eastAsia="Noto Sans KR"/>
          <w:b w:val="0"/>
          <w:i w:val="0"/>
          <w:sz w:val="20"/>
        </w:rPr>
        <w:t>: Varia US-Brookfield JV($694M), Knightvest의 Austin 1,027units 포트폴리오 인수(foreclosure 포함 할인매입), LA County 7월 투자거래 28% 증가 등 distress 기회 포착 움직임 활발. RangeWater의 Atlanta Bell Buckhead West $55M 인수 등 지역 거점 확보 경쟁 치열.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GP 확장</w:t>
      </w:r>
      <w:r>
        <w:rPr>
          <w:rFonts w:ascii="Noto Sans KR" w:hAnsi="Noto Sans KR" w:eastAsia="Noto Sans KR"/>
          <w:b w:val="0"/>
          <w:i w:val="0"/>
          <w:sz w:val="20"/>
        </w:rPr>
        <w:t>: Landmark Properties가 Ole Miss 인근 Domain at Oxford(642beds) 인수하며 포트폴리오 강화. Hawkins Way Capital-Värde Partners JV의 Manhattan 학생주택 매입, HH Group의 DC 진출 등 기관투자자 학생주택 선호도 증가.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SFR/BTR 금융 대형화</w:t>
      </w:r>
      <w:r>
        <w:rPr>
          <w:rFonts w:ascii="Noto Sans KR" w:hAnsi="Noto Sans KR" w:eastAsia="Noto Sans KR"/>
          <w:b w:val="0"/>
          <w:i w:val="0"/>
          <w:sz w:val="20"/>
        </w:rPr>
        <w:t>: Starwood가 10개주 SFR 포트폴리오에 $483M CMBS 리파이낸싱 성공. Inditex 창업자 Ortega의 UK BTR £150M 투자 등 글로벌 자본의 BTR 진입 확대.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Senior Housing 프리미엄 가격</w:t>
      </w:r>
      <w:r>
        <w:rPr>
          <w:rFonts w:ascii="Noto Sans KR" w:hAnsi="Noto Sans KR" w:eastAsia="Noto Sans KR"/>
          <w:b w:val="0"/>
          <w:i w:val="0"/>
          <w:sz w:val="20"/>
        </w:rPr>
        <w:t>: PGIM의 Delray Beach 시니어하우징 매각($140M+)이 남부 플로리다 최대 거래 기록. 고령화 수혜 섹터로 기관투자자 관심 집중.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공급과잉 리스크 모니터링</w:t>
      </w:r>
      <w:r>
        <w:rPr>
          <w:rFonts w:ascii="Noto Sans KR" w:hAnsi="Noto Sans KR" w:eastAsia="Noto Sans KR"/>
          <w:b w:val="0"/>
          <w:i w:val="0"/>
          <w:sz w:val="20"/>
        </w:rPr>
        <w:t xml:space="preserve">: 2,000+ beds 메가 프로젝트들이 동시 공급되며 특정 대학 상권 과열 가능성. 그러나 Florida Tech(등록 27% 증가), Purdue Fort Wayne(수요 증가 대응) 사례처럼 펀더멘털 강한 지역은 기회 유효. </w:t>
      </w:r>
      <w:r>
        <w:rPr>
          <w:rFonts w:ascii="Noto Sans KR" w:hAnsi="Noto Sans KR" w:eastAsia="Noto Sans KR"/>
          <w:b/>
          <w:i w:val="0"/>
          <w:sz w:val="20"/>
        </w:rPr>
        <w:t>우미는 enrollment 성장률 10%+ 대학 중심 선별 전략 필요</w:t>
      </w:r>
      <w:r>
        <w:rPr>
          <w:rFonts w:ascii="Noto Sans KR" w:hAnsi="Noto Sans KR" w:eastAsia="Noto Sans KR"/>
          <w:b w:val="0"/>
          <w:i w:val="0"/>
          <w:sz w:val="20"/>
        </w:rPr>
        <w:t>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중소도시 확장이 핵심</w:t>
      </w:r>
      <w:r>
        <w:rPr>
          <w:rFonts w:ascii="Noto Sans KR" w:hAnsi="Noto Sans KR" w:eastAsia="Noto Sans KR"/>
          <w:b w:val="0"/>
          <w:i w:val="0"/>
          <w:sz w:val="20"/>
        </w:rPr>
        <w:t xml:space="preserve">: Sun Belt 포화 우려 속 Iowa, Albuquerque 등 2선 도시 BTR 개발 확대는 경쟁 낮고 수익성 양호한 블루오션 신호. </w:t>
      </w:r>
      <w:r>
        <w:rPr>
          <w:rFonts w:ascii="Noto Sans KR" w:hAnsi="Noto Sans KR" w:eastAsia="Noto Sans KR"/>
          <w:b/>
          <w:i w:val="0"/>
          <w:sz w:val="20"/>
        </w:rPr>
        <w:t>우미는 인구 10~30만 중소도시 중 고용성장률 상위 MSA 타겟 리서치 착수 권고</w:t>
      </w:r>
      <w:r>
        <w:rPr>
          <w:rFonts w:ascii="Noto Sans KR" w:hAnsi="Noto Sans KR" w:eastAsia="Noto Sans KR"/>
          <w:b w:val="0"/>
          <w:i w:val="0"/>
          <w:sz w:val="20"/>
        </w:rPr>
        <w:t>. Stark Enterprises 같은 지역밀착형 개발사와 GP 파트너십 검토 시점.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Distress 매수 기회 창</w:t>
      </w:r>
      <w:r>
        <w:rPr>
          <w:rFonts w:ascii="Noto Sans KR" w:hAnsi="Noto Sans KR" w:eastAsia="Noto Sans KR"/>
          <w:b w:val="0"/>
          <w:i w:val="0"/>
          <w:sz w:val="20"/>
        </w:rPr>
        <w:t xml:space="preserve">: Knightvest의 foreclosure 포함 할인매입, Fogelman의 Dallas 교외 진출(향후 18개월 신규공급 2% 전망) 등은 </w:t>
      </w:r>
      <w:r>
        <w:rPr>
          <w:rFonts w:ascii="Noto Sans KR" w:hAnsi="Noto Sans KR" w:eastAsia="Noto Sans KR"/>
          <w:b/>
          <w:i w:val="0"/>
          <w:sz w:val="20"/>
        </w:rPr>
        <w:t>금리 정상화 국면에서 distress asset 저가 매수 타이밍</w:t>
      </w:r>
      <w:r>
        <w:rPr>
          <w:rFonts w:ascii="Noto Sans KR" w:hAnsi="Noto Sans KR" w:eastAsia="Noto Sans KR"/>
          <w:b w:val="0"/>
          <w:i w:val="0"/>
          <w:sz w:val="20"/>
        </w:rPr>
        <w:t>. 우미는 텍사스/애틀란타권 bridge loan 부실화 물건 모니터링 강화 필요.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정책자금 레버리지</w:t>
      </w:r>
      <w:r>
        <w:rPr>
          <w:rFonts w:ascii="Noto Sans KR" w:hAnsi="Noto Sans KR" w:eastAsia="Noto Sans KR"/>
          <w:b w:val="0"/>
          <w:i w:val="0"/>
          <w:sz w:val="20"/>
        </w:rPr>
        <w:t xml:space="preserve">: California 주정부 보조금($6.5M~$175M) 기반 개발은 수익률은 낮으나 안정성 높고 ESG 부합. </w:t>
      </w:r>
      <w:r>
        <w:rPr>
          <w:rFonts w:ascii="Noto Sans KR" w:hAnsi="Noto Sans KR" w:eastAsia="Noto Sans KR"/>
          <w:b/>
          <w:i w:val="0"/>
          <w:sz w:val="20"/>
        </w:rPr>
        <w:t>우미는 minority LP 참여 또는 tax credit equity 투자 검토</w:t>
      </w:r>
      <w:r>
        <w:rPr>
          <w:rFonts w:ascii="Noto Sans KR" w:hAnsi="Noto Sans KR" w:eastAsia="Noto Sans KR"/>
          <w:b w:val="0"/>
          <w:i w:val="0"/>
          <w:sz w:val="20"/>
        </w:rPr>
        <w:t>하여 포트폴리오 다변화 가능.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Kennedy Wilson 모델 벤치마킹</w:t>
      </w:r>
      <w:r>
        <w:rPr>
          <w:rFonts w:ascii="Noto Sans KR" w:hAnsi="Noto Sans KR" w:eastAsia="Noto Sans KR"/>
          <w:b w:val="0"/>
          <w:i w:val="0"/>
          <w:sz w:val="20"/>
        </w:rPr>
        <w:t xml:space="preserve">: Toll Brothers 아파트 플랫폼 $347M 인수 후 개발 역량 확보한 사례는 </w:t>
      </w:r>
      <w:r>
        <w:rPr>
          <w:rFonts w:ascii="Noto Sans KR" w:hAnsi="Noto Sans KR" w:eastAsia="Noto Sans KR"/>
          <w:b/>
          <w:i w:val="0"/>
          <w:sz w:val="20"/>
        </w:rPr>
        <w:t>우미의 빌더 M&amp;A를 통한 개발 내재화 전략</w:t>
      </w:r>
      <w:r>
        <w:rPr>
          <w:rFonts w:ascii="Noto Sans KR" w:hAnsi="Noto Sans KR" w:eastAsia="Noto Sans KR"/>
          <w:b w:val="0"/>
          <w:i w:val="0"/>
          <w:sz w:val="20"/>
        </w:rPr>
        <w:t>에 참고 가치. McCullough 같은 경험 많은 개발 리더 영입이 관건.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8월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