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Noto Sans KR" w:hAnsi="Noto Sans KR" w:eastAsia="Noto Sans KR"/>
          <w:b/>
          <w:i w:val="0"/>
          <w:color w:val="1B3A5C"/>
          <w:sz w:val="32"/>
        </w:rPr>
        <w:t>우미글로벌 해외사업팀</w:t>
      </w:r>
    </w:p>
    <w:p/>
    <w:p>
      <w:pPr>
        <w:jc w:val="center"/>
      </w:pPr>
      <w:r>
        <w:rPr>
          <w:rFonts w:ascii="Noto Sans KR" w:hAnsi="Noto Sans KR" w:eastAsia="Noto Sans KR"/>
          <w:b/>
          <w:i w:val="0"/>
          <w:sz w:val="40"/>
        </w:rPr>
        <w:t>미국 주거시장 주간 인텔리전스 리포트</w:t>
      </w:r>
    </w:p>
    <w:p/>
    <w:p>
      <w:pPr>
        <w:jc w:val="center"/>
      </w:pPr>
      <w:r>
        <w:rPr>
          <w:rFonts w:ascii="Noto Sans KR" w:hAnsi="Noto Sans KR" w:eastAsia="Noto Sans KR"/>
          <w:b w:val="0"/>
          <w:i w:val="0"/>
          <w:color w:val="999999"/>
          <w:sz w:val="20"/>
        </w:rPr>
        <w:t>기간: 2026-08-09 ~ 2026-08-16</w:t>
      </w:r>
    </w:p>
    <w:p/>
    <w:p>
      <w:pPr>
        <w:jc w:val="center"/>
      </w:pPr>
      <w:r>
        <w:rPr>
          <w:rFonts w:ascii="Noto Sans KR" w:hAnsi="Noto Sans KR" w:eastAsia="Noto Sans KR"/>
          <w:b w:val="0"/>
          <w:i w:val="0"/>
          <w:color w:val="999999"/>
          <w:sz w:val="20"/>
        </w:rPr>
        <w:t>작성일: 2026년 08월 16일  |  해외사업팀</w:t>
      </w:r>
    </w:p>
    <w:p>
      <w:r>
        <w:br w:type="page"/>
      </w:r>
    </w:p>
    <w:p>
      <w:pPr>
        <w:pBdr>
          <w:bottom w:val="single" w:sz="4" w:space="1" w:color="1B3A5C"/>
        </w:pBdr>
      </w:pPr>
      <w:r>
        <w:rPr>
          <w:rFonts w:ascii="Noto Sans KR" w:hAnsi="Noto Sans KR" w:eastAsia="Noto Sans KR"/>
          <w:b/>
          <w:i w:val="0"/>
          <w:color w:val="1B3A5C"/>
          <w:sz w:val="28"/>
        </w:rPr>
        <w:t>미국 주거시장 주간 인텔리전스 리포트</w:t>
      </w:r>
    </w:p>
    <w:p>
      <w:r>
        <w:rPr>
          <w:rFonts w:ascii="Noto Sans KR" w:hAnsi="Noto Sans KR" w:eastAsia="Noto Sans KR"/>
          <w:b w:val="0"/>
          <w:i w:val="0"/>
          <w:sz w:val="20"/>
        </w:rPr>
      </w:r>
      <w:r>
        <w:rPr>
          <w:rFonts w:ascii="Noto Sans KR" w:hAnsi="Noto Sans KR" w:eastAsia="Noto Sans KR"/>
          <w:b/>
          <w:i w:val="0"/>
          <w:sz w:val="20"/>
        </w:rPr>
        <w:t>분석기간:</w:t>
      </w:r>
      <w:r>
        <w:rPr>
          <w:rFonts w:ascii="Noto Sans KR" w:hAnsi="Noto Sans KR" w:eastAsia="Noto Sans KR"/>
          <w:b w:val="0"/>
          <w:i w:val="0"/>
          <w:sz w:val="20"/>
        </w:rPr>
        <w:t xml:space="preserve"> 2026년 8월 9일 ~ 8월 16일 | </w:t>
      </w:r>
      <w:r>
        <w:rPr>
          <w:rFonts w:ascii="Noto Sans KR" w:hAnsi="Noto Sans KR" w:eastAsia="Noto Sans KR"/>
          <w:b/>
          <w:i w:val="0"/>
          <w:sz w:val="20"/>
        </w:rPr>
        <w:t>총 분석 기사:</w:t>
      </w:r>
      <w:r>
        <w:rPr>
          <w:rFonts w:ascii="Noto Sans KR" w:hAnsi="Noto Sans KR" w:eastAsia="Noto Sans KR"/>
          <w:b w:val="0"/>
          <w:i w:val="0"/>
          <w:sz w:val="20"/>
        </w:rPr>
        <w:t xml:space="preserve"> 424건</w:t>
      </w:r>
    </w:p>
    <w:p/>
    <w:p>
      <w:pPr>
        <w:pBdr>
          <w:bottom w:val="single" w:sz="4" w:space="1" w:color="2E75B6"/>
        </w:pBdr>
      </w:pPr>
      <w:r>
        <w:rPr>
          <w:rFonts w:ascii="Noto Sans KR" w:hAnsi="Noto Sans KR" w:eastAsia="Noto Sans KR"/>
          <w:b/>
          <w:i w:val="0"/>
          <w:color w:val="2E75B6"/>
          <w:sz w:val="26"/>
        </w:rPr>
        <w:t>2. 정책·이슈</w:t>
      </w:r>
    </w:p>
    <w:p>
      <w:pPr>
        <w:pStyle w:val="ListBullet"/>
        <w:ind w:left="360"/>
      </w:pPr>
      <w:r>
        <w:rPr>
          <w:rFonts w:ascii="Noto Sans KR" w:hAnsi="Noto Sans KR" w:eastAsia="Noto Sans KR"/>
          <w:b w:val="0"/>
          <w:i w:val="0"/>
          <w:sz w:val="20"/>
        </w:rPr>
      </w:r>
      <w:r>
        <w:rPr>
          <w:rFonts w:ascii="Noto Sans KR" w:hAnsi="Noto Sans KR" w:eastAsia="Noto Sans KR"/>
          <w:b/>
          <w:i w:val="0"/>
          <w:sz w:val="20"/>
        </w:rPr>
        <w:t>지방정부 규제 양극화</w:t>
      </w:r>
      <w:r>
        <w:rPr>
          <w:rFonts w:ascii="Noto Sans KR" w:hAnsi="Noto Sans KR" w:eastAsia="Noto Sans KR"/>
          <w:b w:val="0"/>
          <w:i w:val="0"/>
          <w:sz w:val="20"/>
        </w:rPr>
        <w:t>: 시애틀은 2027년 7월부터 펫렌트·행정수수료 등 'junk fees' 전면 금지하는 투명성 조례 시행 예정. 반면 Long Island에서는 IDA 세제혜택 축소 논쟁으로 개발 불확실성 증가</w:t>
      </w:r>
    </w:p>
    <w:p>
      <w:pPr>
        <w:pStyle w:val="ListBullet"/>
        <w:ind w:left="360"/>
      </w:pPr>
      <w:r>
        <w:rPr>
          <w:rFonts w:ascii="Noto Sans KR" w:hAnsi="Noto Sans KR" w:eastAsia="Noto Sans KR"/>
          <w:b w:val="0"/>
          <w:i w:val="0"/>
          <w:sz w:val="20"/>
        </w:rPr>
      </w:r>
      <w:r>
        <w:rPr>
          <w:rFonts w:ascii="Noto Sans KR" w:hAnsi="Noto Sans KR" w:eastAsia="Noto Sans KR"/>
          <w:b/>
          <w:i w:val="0"/>
          <w:sz w:val="20"/>
        </w:rPr>
        <w:t>ROAD to Housing Act 이행 지연</w:t>
      </w:r>
      <w:r>
        <w:rPr>
          <w:rFonts w:ascii="Noto Sans KR" w:hAnsi="Noto Sans KR" w:eastAsia="Noto Sans KR"/>
          <w:b w:val="0"/>
          <w:i w:val="0"/>
          <w:sz w:val="20"/>
        </w:rPr>
        <w:t>: HUD 인력 부족으로 21세기 주거법 실질 혜택 발현까지 수년 소요 전망. 지방정부 입장에서 즉각적 효과 기대 어려움</w:t>
      </w:r>
    </w:p>
    <w:p>
      <w:pPr>
        <w:pStyle w:val="ListBullet"/>
        <w:ind w:left="360"/>
      </w:pPr>
      <w:r>
        <w:rPr>
          <w:rFonts w:ascii="Noto Sans KR" w:hAnsi="Noto Sans KR" w:eastAsia="Noto Sans KR"/>
          <w:b w:val="0"/>
          <w:i w:val="0"/>
          <w:sz w:val="20"/>
        </w:rPr>
      </w:r>
      <w:r>
        <w:rPr>
          <w:rFonts w:ascii="Noto Sans KR" w:hAnsi="Noto Sans KR" w:eastAsia="Noto Sans KR"/>
          <w:b/>
          <w:i w:val="0"/>
          <w:sz w:val="20"/>
        </w:rPr>
        <w:t>렌트 컨트롤 부작용 확산</w:t>
      </w:r>
      <w:r>
        <w:rPr>
          <w:rFonts w:ascii="Noto Sans KR" w:hAnsi="Noto Sans KR" w:eastAsia="Noto Sans KR"/>
          <w:b w:val="0"/>
          <w:i w:val="0"/>
          <w:sz w:val="20"/>
        </w:rPr>
        <w:t>: 메릴랜드 Montgomery County의 렌트 규제가 신규 개발 위축시키며 "실수였다" 평가. 개발사들은 창의적 파이낸싱으로 대응 중</w:t>
      </w:r>
    </w:p>
    <w:p>
      <w:pPr>
        <w:pStyle w:val="ListBullet"/>
        <w:ind w:left="360"/>
      </w:pPr>
      <w:r>
        <w:rPr>
          <w:rFonts w:ascii="Noto Sans KR" w:hAnsi="Noto Sans KR" w:eastAsia="Noto Sans KR"/>
          <w:b w:val="0"/>
          <w:i w:val="0"/>
          <w:sz w:val="20"/>
        </w:rPr>
      </w:r>
      <w:r>
        <w:rPr>
          <w:rFonts w:ascii="Noto Sans KR" w:hAnsi="Noto Sans KR" w:eastAsia="Noto Sans KR"/>
          <w:b/>
          <w:i w:val="0"/>
          <w:sz w:val="20"/>
        </w:rPr>
        <w:t>건설비 인플레이션 지속</w:t>
      </w:r>
      <w:r>
        <w:rPr>
          <w:rFonts w:ascii="Noto Sans KR" w:hAnsi="Noto Sans KR" w:eastAsia="Noto Sans KR"/>
          <w:b w:val="0"/>
          <w:i w:val="0"/>
          <w:sz w:val="20"/>
        </w:rPr>
        <w:t>: 자재비 7.4% 상승에도 불구하고 수주 잔고(backlog) 감소하며 시공사 마진 압박. 관세 이슈가 추가 비용 압력으로 작용</w:t>
      </w:r>
    </w:p>
    <w:p>
      <w:pPr>
        <w:pStyle w:val="ListBullet"/>
        <w:ind w:left="360"/>
      </w:pPr>
      <w:r>
        <w:rPr>
          <w:rFonts w:ascii="Noto Sans KR" w:hAnsi="Noto Sans KR" w:eastAsia="Noto Sans KR"/>
          <w:b w:val="0"/>
          <w:i w:val="0"/>
          <w:sz w:val="20"/>
        </w:rPr>
      </w:r>
      <w:r>
        <w:rPr>
          <w:rFonts w:ascii="Noto Sans KR" w:hAnsi="Noto Sans KR" w:eastAsia="Noto Sans KR"/>
          <w:b/>
          <w:i w:val="0"/>
          <w:sz w:val="20"/>
        </w:rPr>
        <w:t>캘리포니아 적극적 공급 지원</w:t>
      </w:r>
      <w:r>
        <w:rPr>
          <w:rFonts w:ascii="Noto Sans KR" w:hAnsi="Noto Sans KR" w:eastAsia="Noto Sans KR"/>
          <w:b w:val="0"/>
          <w:i w:val="0"/>
          <w:sz w:val="20"/>
        </w:rPr>
        <w:t>: $239M 저소득층 주거 갭펀딩으로 20개 프로젝트 신속 승인. 주정부 차원 주거난 해소 의지 강화</w:t>
      </w:r>
    </w:p>
    <w:p/>
    <w:p>
      <w:pPr>
        <w:pBdr>
          <w:bottom w:val="single" w:sz="4" w:space="1" w:color="2E75B6"/>
        </w:pBdr>
      </w:pPr>
      <w:r>
        <w:rPr>
          <w:rFonts w:ascii="Noto Sans KR" w:hAnsi="Noto Sans KR" w:eastAsia="Noto Sans KR"/>
          <w:b/>
          <w:i w:val="0"/>
          <w:color w:val="2E75B6"/>
          <w:sz w:val="26"/>
        </w:rPr>
        <w:t>3. 거래현황</w:t>
      </w:r>
    </w:p>
    <w:p>
      <w:pPr>
        <w:pStyle w:val="ListBullet"/>
        <w:ind w:left="360"/>
      </w:pPr>
      <w:r>
        <w:rPr>
          <w:rFonts w:ascii="Noto Sans KR" w:hAnsi="Noto Sans KR" w:eastAsia="Noto Sans KR"/>
          <w:b w:val="0"/>
          <w:i w:val="0"/>
          <w:sz w:val="20"/>
        </w:rPr>
      </w:r>
      <w:r>
        <w:rPr>
          <w:rFonts w:ascii="Noto Sans KR" w:hAnsi="Noto Sans KR" w:eastAsia="Noto Sans KR"/>
          <w:b/>
          <w:i w:val="0"/>
          <w:sz w:val="20"/>
        </w:rPr>
        <w:t>메가 REIT 통합 완료</w:t>
      </w:r>
      <w:r>
        <w:rPr>
          <w:rFonts w:ascii="Noto Sans KR" w:hAnsi="Noto Sans KR" w:eastAsia="Noto Sans KR"/>
          <w:b w:val="0"/>
          <w:i w:val="0"/>
          <w:sz w:val="20"/>
        </w:rPr>
        <w:t>: AvalonBay의 Equity Residential 인수($71B 규모) 주주 승인 완료, 8월 중 마감 예정. 98,000유닛 포트폴리오 통합으로 업계 최대 멀티패밀리 REIT 탄생</w:t>
      </w:r>
    </w:p>
    <w:p>
      <w:pPr>
        <w:pStyle w:val="ListBullet"/>
        <w:ind w:left="360"/>
      </w:pPr>
      <w:r>
        <w:rPr>
          <w:rFonts w:ascii="Noto Sans KR" w:hAnsi="Noto Sans KR" w:eastAsia="Noto Sans KR"/>
          <w:b w:val="0"/>
          <w:i w:val="0"/>
          <w:sz w:val="20"/>
        </w:rPr>
      </w:r>
      <w:r>
        <w:rPr>
          <w:rFonts w:ascii="Noto Sans KR" w:hAnsi="Noto Sans KR" w:eastAsia="Noto Sans KR"/>
          <w:b/>
          <w:i w:val="0"/>
          <w:sz w:val="20"/>
        </w:rPr>
        <w:t>Sun Belt 거래 집중</w:t>
      </w:r>
      <w:r>
        <w:rPr>
          <w:rFonts w:ascii="Noto Sans KR" w:hAnsi="Noto Sans KR" w:eastAsia="Noto Sans KR"/>
          <w:b w:val="0"/>
          <w:i w:val="0"/>
          <w:sz w:val="20"/>
        </w:rPr>
        <w:t>: Strategic Value Partners의 텍사스 895유닛 포트폴리오 인수, 애틀랜타 336유닛 경매 매각($98.4M), LA Marina del Rey 544유닛 $170M 거래 등 남부 시장 활발. H1 2026 거래량 상위에 북부 뉴저지·샌프란시스코·시애틀</w:t>
      </w:r>
    </w:p>
    <w:p>
      <w:pPr>
        <w:pStyle w:val="ListBullet"/>
        <w:ind w:left="360"/>
      </w:pPr>
      <w:r>
        <w:rPr>
          <w:rFonts w:ascii="Noto Sans KR" w:hAnsi="Noto Sans KR" w:eastAsia="Noto Sans KR"/>
          <w:b w:val="0"/>
          <w:i w:val="0"/>
          <w:sz w:val="20"/>
        </w:rPr>
      </w:r>
      <w:r>
        <w:rPr>
          <w:rFonts w:ascii="Noto Sans KR" w:hAnsi="Noto Sans KR" w:eastAsia="Noto Sans KR"/>
          <w:b/>
          <w:i w:val="0"/>
          <w:sz w:val="20"/>
        </w:rPr>
        <w:t>기관투자 자본 유입 확대</w:t>
      </w:r>
      <w:r>
        <w:rPr>
          <w:rFonts w:ascii="Noto Sans KR" w:hAnsi="Noto Sans KR" w:eastAsia="Noto Sans KR"/>
          <w:b w:val="0"/>
          <w:i w:val="0"/>
          <w:sz w:val="20"/>
        </w:rPr>
        <w:t>: Brookfield-SWI $694M JV 결성 후 $500M 추가 매각 계획. 1789 Capital(트럼프 Jr. 후원)은 Easton Street와 파트너십으로 $8B 규모 Sun Belt 투자 펀드 출범</w:t>
      </w:r>
    </w:p>
    <w:p>
      <w:pPr>
        <w:pStyle w:val="ListBullet"/>
        <w:ind w:left="360"/>
      </w:pPr>
      <w:r>
        <w:rPr>
          <w:rFonts w:ascii="Noto Sans KR" w:hAnsi="Noto Sans KR" w:eastAsia="Noto Sans KR"/>
          <w:b w:val="0"/>
          <w:i w:val="0"/>
          <w:sz w:val="20"/>
        </w:rPr>
      </w:r>
      <w:r>
        <w:rPr>
          <w:rFonts w:ascii="Noto Sans KR" w:hAnsi="Noto Sans KR" w:eastAsia="Noto Sans KR"/>
          <w:b/>
          <w:i w:val="0"/>
          <w:sz w:val="20"/>
        </w:rPr>
        <w:t>브리지론 시장 회복</w:t>
      </w:r>
      <w:r>
        <w:rPr>
          <w:rFonts w:ascii="Noto Sans KR" w:hAnsi="Noto Sans KR" w:eastAsia="Noto Sans KR"/>
          <w:b w:val="0"/>
          <w:i w:val="0"/>
          <w:sz w:val="20"/>
        </w:rPr>
        <w:t>: Invesco Real Estate의 2026 H1 대출 실행액 112% 급증($3.2B). Benefit Street Partners, Morgan Stanley, PNC Bank 등이 $50M~$175M 규모 브리지론 공급</w:t>
      </w:r>
    </w:p>
    <w:p>
      <w:pPr>
        <w:pStyle w:val="ListBullet"/>
        <w:ind w:left="360"/>
      </w:pPr>
      <w:r>
        <w:rPr>
          <w:rFonts w:ascii="Noto Sans KR" w:hAnsi="Noto Sans KR" w:eastAsia="Noto Sans KR"/>
          <w:b w:val="0"/>
          <w:i w:val="0"/>
          <w:sz w:val="20"/>
        </w:rPr>
      </w:r>
      <w:r>
        <w:rPr>
          <w:rFonts w:ascii="Noto Sans KR" w:hAnsi="Noto Sans KR" w:eastAsia="Noto Sans KR"/>
          <w:b/>
          <w:i w:val="0"/>
          <w:sz w:val="20"/>
        </w:rPr>
        <w:t>디스트레스 증가세</w:t>
      </w:r>
      <w:r>
        <w:rPr>
          <w:rFonts w:ascii="Noto Sans KR" w:hAnsi="Noto Sans KR" w:eastAsia="Noto Sans KR"/>
          <w:b w:val="0"/>
          <w:i w:val="0"/>
          <w:sz w:val="20"/>
        </w:rPr>
        <w:t>: CMBS 디스트레스 비율 11.6%($45.8B/$393.5B)로 7월 상승. 보험료·재산세·대출비용 증가가 주 원인. $65B 만기 도래 물량 앞두고 재융자 압박 가중</w:t>
      </w:r>
    </w:p>
    <w:p/>
    <w:p>
      <w:pPr>
        <w:pBdr>
          <w:bottom w:val="single" w:sz="4" w:space="1" w:color="2E75B6"/>
        </w:pBdr>
      </w:pPr>
      <w:r>
        <w:rPr>
          <w:rFonts w:ascii="Noto Sans KR" w:hAnsi="Noto Sans KR" w:eastAsia="Noto Sans KR"/>
          <w:b/>
          <w:i w:val="0"/>
          <w:color w:val="2E75B6"/>
          <w:sz w:val="26"/>
        </w:rPr>
        <w:t>4. 시사점</w:t>
      </w:r>
    </w:p>
    <w:p>
      <w:pPr>
        <w:pStyle w:val="ListBullet"/>
        <w:ind w:left="360"/>
      </w:pPr>
      <w:r>
        <w:rPr>
          <w:rFonts w:ascii="Noto Sans KR" w:hAnsi="Noto Sans KR" w:eastAsia="Noto Sans KR"/>
          <w:b w:val="0"/>
          <w:i w:val="0"/>
          <w:sz w:val="20"/>
        </w:rPr>
      </w:r>
      <w:r>
        <w:rPr>
          <w:rFonts w:ascii="Noto Sans KR" w:hAnsi="Noto Sans KR" w:eastAsia="Noto Sans KR"/>
          <w:b/>
          <w:i w:val="0"/>
          <w:sz w:val="20"/>
        </w:rPr>
        <w:t>BTR 파트너십 기회</w:t>
      </w:r>
      <w:r>
        <w:rPr>
          <w:rFonts w:ascii="Noto Sans KR" w:hAnsi="Noto Sans KR" w:eastAsia="Noto Sans KR"/>
          <w:b w:val="0"/>
          <w:i w:val="0"/>
          <w:sz w:val="20"/>
        </w:rPr>
        <w:t>: Porter Kyle의 애리조나 사례처럼 타운홈 형태 BTR이 입주 시작하며 검증 단계. Hillwood의 618에이커 대규모 부지 확보는 마스터플랜 BTR 개발 가능성 시사. 우미글로벌은 지역 개발사와 JV 통한 BTR 시장 진입 검토 필요</w:t>
      </w:r>
    </w:p>
    <w:p>
      <w:pPr>
        <w:pStyle w:val="ListBullet"/>
        <w:ind w:left="360"/>
      </w:pPr>
      <w:r>
        <w:rPr>
          <w:rFonts w:ascii="Noto Sans KR" w:hAnsi="Noto Sans KR" w:eastAsia="Noto Sans KR"/>
          <w:b w:val="0"/>
          <w:i w:val="0"/>
          <w:sz w:val="20"/>
        </w:rPr>
      </w:r>
      <w:r>
        <w:rPr>
          <w:rFonts w:ascii="Noto Sans KR" w:hAnsi="Noto Sans KR" w:eastAsia="Noto Sans KR"/>
          <w:b/>
          <w:i w:val="0"/>
          <w:sz w:val="20"/>
        </w:rPr>
        <w:t>Student Housing 안정적 수요</w:t>
      </w:r>
      <w:r>
        <w:rPr>
          <w:rFonts w:ascii="Noto Sans KR" w:hAnsi="Noto Sans KR" w:eastAsia="Noto Sans KR"/>
          <w:b w:val="0"/>
          <w:i w:val="0"/>
          <w:sz w:val="20"/>
        </w:rPr>
        <w:t>: 주요 대학가 인근 대규모 프로젝트들이 즉시 입주 완료되며 수요 견조성 입증. 특히 Harrison Street, Landmark Properties 등 전문 운용사와의 개발 파트너십이 활발. 우미의 운영 노하우와 현지 GP의 개발·파이낉싱 역량 결합 시너지 유망</w:t>
      </w:r>
    </w:p>
    <w:p>
      <w:pPr>
        <w:pStyle w:val="ListBullet"/>
        <w:ind w:left="360"/>
      </w:pPr>
      <w:r>
        <w:rPr>
          <w:rFonts w:ascii="Noto Sans KR" w:hAnsi="Noto Sans KR" w:eastAsia="Noto Sans KR"/>
          <w:b w:val="0"/>
          <w:i w:val="0"/>
          <w:sz w:val="20"/>
        </w:rPr>
      </w:r>
      <w:r>
        <w:rPr>
          <w:rFonts w:ascii="Noto Sans KR" w:hAnsi="Noto Sans KR" w:eastAsia="Noto Sans KR"/>
          <w:b/>
          <w:i w:val="0"/>
          <w:sz w:val="20"/>
        </w:rPr>
        <w:t>GP 파트너십 전략 구체화</w:t>
      </w:r>
      <w:r>
        <w:rPr>
          <w:rFonts w:ascii="Noto Sans KR" w:hAnsi="Noto Sans KR" w:eastAsia="Noto Sans KR"/>
          <w:b w:val="0"/>
          <w:i w:val="0"/>
          <w:sz w:val="20"/>
        </w:rPr>
        <w:t>: L&amp;G(UK)의 첫 미국 진출이 지역 개발사 Taurus와 JV 형태로 진행된 점 주목. Walker &amp; Dunlop의 $147.5M 자금 조달 사례처럼 현지 자본 접근성 확보가 핵심. 우미는 기관투자자 선호 높은 Sun Belt·대학가 중심 GP 발굴 집중 필요</w:t>
      </w:r>
    </w:p>
    <w:p>
      <w:pPr>
        <w:pStyle w:val="ListBullet"/>
        <w:ind w:left="360"/>
      </w:pPr>
      <w:r>
        <w:rPr>
          <w:rFonts w:ascii="Noto Sans KR" w:hAnsi="Noto Sans KR" w:eastAsia="Noto Sans KR"/>
          <w:b w:val="0"/>
          <w:i w:val="0"/>
          <w:sz w:val="20"/>
        </w:rPr>
      </w:r>
      <w:r>
        <w:rPr>
          <w:rFonts w:ascii="Noto Sans KR" w:hAnsi="Noto Sans KR" w:eastAsia="Noto Sans KR"/>
          <w:b/>
          <w:i w:val="0"/>
          <w:sz w:val="20"/>
        </w:rPr>
        <w:t>디스트레스 자산 기회 포착</w:t>
      </w:r>
      <w:r>
        <w:rPr>
          <w:rFonts w:ascii="Noto Sans KR" w:hAnsi="Noto Sans KR" w:eastAsia="Noto Sans KR"/>
          <w:b w:val="0"/>
          <w:i w:val="0"/>
          <w:sz w:val="20"/>
        </w:rPr>
        <w:t>: CMBS 디스트레스 비율 상승과 CONAM의 라스베이거스 $29M 할인 매입 사례는 밸류애드 투자 기회 확대 의미. 우미는 재융자 압박 받는 양질 자산 선별 인수 전략 고려 가능</w:t>
      </w:r>
    </w:p>
    <w:p>
      <w:pPr>
        <w:pStyle w:val="ListBullet"/>
        <w:ind w:left="360"/>
      </w:pPr>
      <w:r>
        <w:rPr>
          <w:rFonts w:ascii="Noto Sans KR" w:hAnsi="Noto Sans KR" w:eastAsia="Noto Sans KR"/>
          <w:b w:val="0"/>
          <w:i w:val="0"/>
          <w:sz w:val="20"/>
        </w:rPr>
      </w:r>
      <w:r>
        <w:rPr>
          <w:rFonts w:ascii="Noto Sans KR" w:hAnsi="Noto Sans KR" w:eastAsia="Noto Sans KR"/>
          <w:b/>
          <w:i w:val="0"/>
          <w:sz w:val="20"/>
        </w:rPr>
        <w:t>정책 리스크 회피 전략</w:t>
      </w:r>
      <w:r>
        <w:rPr>
          <w:rFonts w:ascii="Noto Sans KR" w:hAnsi="Noto Sans KR" w:eastAsia="Noto Sans KR"/>
          <w:b w:val="0"/>
          <w:i w:val="0"/>
          <w:sz w:val="20"/>
        </w:rPr>
        <w:t>: 시애틀·Montgomery County 사례는 진보 성향 지자체의 규제 강화 리스크 보여줌. 반면 텍사스·플로리다 등 친개발 지역과 캘리포니아의 주정부 지원 프로그램은 기회 요인. 정책 환경 안정적이고 인구 유입 지속되는 2차 도시 타겟팅 전략 유효</w:t>
      </w:r>
    </w:p>
    <w:p>
      <w:r>
        <w:rPr>
          <w:rFonts w:ascii="Noto Sans KR" w:hAnsi="Noto Sans KR" w:eastAsia="Noto Sans KR"/>
          <w:b/>
          <w:i w:val="0"/>
          <w:sz w:val="20"/>
        </w:rPr>
        <w:t>[End of Report]</w:t>
      </w:r>
    </w:p>
    <w:p>
      <w:r>
        <w:rPr>
          <w:rFonts w:ascii="Noto Sans KR" w:hAnsi="Noto Sans KR" w:eastAsia="Noto Sans KR"/>
          <w:b w:val="0"/>
          <w:i w:val="0"/>
          <w:sz w:val="20"/>
        </w:rPr>
        <w:t>*본 보고서는 공개 뉴스 기사 분석 기반이며, 투자 판단 시 추가 실사 필수*</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sz w:val="18"/>
      </w:rPr>
      <w:fldChar w:fldCharType="begin"/>
      <w:instrText>PAGE</w:instrText>
      <w:fldChar w:fldCharType="separate"/>
      <w:fldChar w:fldCharType="end"/>
    </w:r>
    <w:r>
      <w:tab/>
      <w:tab/>
    </w:r>
    <w:r>
      <w:rPr>
        <w:rFonts w:ascii="Noto Sans KR" w:hAnsi="Noto Sans KR" w:eastAsia="Noto Sans KR"/>
        <w:b w:val="0"/>
        <w:i w:val="0"/>
        <w:color w:val="999999"/>
        <w:sz w:val="18"/>
      </w:rPr>
      <w:t>2026년 8월</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1" w:color="1B3A5C"/>
      </w:pBdr>
    </w:pPr>
    <w:r>
      <w:rPr>
        <w:rFonts w:ascii="Noto Sans KR" w:hAnsi="Noto Sans KR" w:eastAsia="Noto Sans KR"/>
        <w:b w:val="0"/>
        <w:i w:val="0"/>
        <w:color w:val="999999"/>
        <w:sz w:val="20"/>
      </w:rPr>
      <w:t>우미글로벌 해외사업팀 | 대외비</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