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Noto Sans KR" w:hAnsi="Noto Sans KR" w:eastAsia="Noto Sans KR"/>
          <w:b/>
          <w:i w:val="0"/>
          <w:color w:val="1B3A5C"/>
          <w:sz w:val="32"/>
        </w:rPr>
        <w:t>우미글로벌 해외사업팀</w:t>
      </w:r>
    </w:p>
    <w:p/>
    <w:p>
      <w:pPr>
        <w:jc w:val="center"/>
      </w:pPr>
      <w:r>
        <w:rPr>
          <w:rFonts w:ascii="Noto Sans KR" w:hAnsi="Noto Sans KR" w:eastAsia="Noto Sans KR"/>
          <w:b/>
          <w:i w:val="0"/>
          <w:sz w:val="40"/>
        </w:rPr>
        <w:t>미국 주거시장 주간 인텔리전스 리포트</w:t>
      </w:r>
    </w:p>
    <w:p/>
    <w:p>
      <w:pPr>
        <w:jc w:val="center"/>
      </w:pPr>
      <w:r>
        <w:rPr>
          <w:rFonts w:ascii="Noto Sans KR" w:hAnsi="Noto Sans KR" w:eastAsia="Noto Sans KR"/>
          <w:b w:val="0"/>
          <w:i w:val="0"/>
          <w:color w:val="999999"/>
          <w:sz w:val="20"/>
        </w:rPr>
        <w:t>기간: 2026-10-19 ~ 2026-10-26</w:t>
      </w:r>
    </w:p>
    <w:p/>
    <w:p>
      <w:pPr>
        <w:jc w:val="center"/>
      </w:pPr>
      <w:r>
        <w:rPr>
          <w:rFonts w:ascii="Noto Sans KR" w:hAnsi="Noto Sans KR" w:eastAsia="Noto Sans KR"/>
          <w:b w:val="0"/>
          <w:i w:val="0"/>
          <w:color w:val="999999"/>
          <w:sz w:val="20"/>
        </w:rPr>
        <w:t>작성일: 2026년 10월 26일  |  해외사업팀</w:t>
      </w:r>
    </w:p>
    <w:p>
      <w:r>
        <w:br w:type="page"/>
      </w:r>
    </w:p>
    <w:p>
      <w:pPr>
        <w:pBdr>
          <w:bottom w:val="single" w:sz="4" w:space="1" w:color="1B3A5C"/>
        </w:pBdr>
      </w:pPr>
      <w:r>
        <w:rPr>
          <w:rFonts w:ascii="Noto Sans KR" w:hAnsi="Noto Sans KR" w:eastAsia="Noto Sans KR"/>
          <w:b/>
          <w:i w:val="0"/>
          <w:color w:val="1B3A5C"/>
          <w:sz w:val="28"/>
        </w:rPr>
        <w:t>우미글로벌 해외사업팀 | 미국 주거시장 인텔리전스 리포트</w:t>
      </w:r>
    </w:p>
    <w:p>
      <w:r>
        <w:rPr>
          <w:rFonts w:ascii="Noto Sans KR" w:hAnsi="Noto Sans KR" w:eastAsia="Noto Sans KR"/>
          <w:b w:val="0"/>
          <w:i w:val="0"/>
          <w:sz w:val="20"/>
        </w:rPr>
      </w:r>
      <w:r>
        <w:rPr>
          <w:rFonts w:ascii="Noto Sans KR" w:hAnsi="Noto Sans KR" w:eastAsia="Noto Sans KR"/>
          <w:b/>
          <w:i w:val="0"/>
          <w:sz w:val="20"/>
        </w:rPr>
        <w:t>기간: 2026-10-19 ~ 2026-10-26</w:t>
      </w:r>
      <w:r>
        <w:rPr>
          <w:rFonts w:ascii="Noto Sans KR" w:hAnsi="Noto Sans KR" w:eastAsia="Noto Sans KR"/>
          <w:b w:val="0"/>
          <w:i w:val="0"/>
          <w:sz w:val="20"/>
        </w:rPr>
        <w:t xml:space="preserve"> | 수집 기사: 100건 (전체 439건 중 주요 발췌)</w:t>
      </w:r>
    </w:p>
    <w:p>
      <w:pPr>
        <w:pBdr>
          <w:bottom w:val="single" w:sz="4" w:space="1" w:color="1B3A5C"/>
        </w:pBdr>
      </w:pPr>
    </w:p>
    <w:p/>
    <w:p>
      <w:pPr>
        <w:pBdr>
          <w:bottom w:val="single" w:sz="4" w:space="1" w:color="2E75B6"/>
        </w:pBdr>
      </w:pPr>
      <w:r>
        <w:rPr>
          <w:rFonts w:ascii="Noto Sans KR" w:hAnsi="Noto Sans KR" w:eastAsia="Noto Sans KR"/>
          <w:b/>
          <w:i w:val="0"/>
          <w:color w:val="2E75B6"/>
          <w:sz w:val="26"/>
        </w:rPr>
        <w:t>1. 개발 현황</w:t>
      </w:r>
    </w:p>
    <w:p>
      <w:pPr>
        <w:pStyle w:val="ListBullet"/>
        <w:ind w:left="360"/>
      </w:pPr>
      <w:r>
        <w:rPr>
          <w:rFonts w:ascii="Noto Sans KR" w:hAnsi="Noto Sans KR" w:eastAsia="Noto Sans KR"/>
          <w:b w:val="0"/>
          <w:i w:val="0"/>
          <w:sz w:val="20"/>
        </w:rPr>
      </w:r>
      <w:r>
        <w:rPr>
          <w:rFonts w:ascii="Noto Sans KR" w:hAnsi="Noto Sans KR" w:eastAsia="Noto Sans KR"/>
          <w:b/>
          <w:i w:val="0"/>
          <w:sz w:val="20"/>
        </w:rPr>
        <w:t>Student Housing 착공 러시</w:t>
      </w:r>
      <w:r>
        <w:rPr>
          <w:rFonts w:ascii="Noto Sans KR" w:hAnsi="Noto Sans KR" w:eastAsia="Noto Sans KR"/>
          <w:b w:val="0"/>
          <w:i w:val="0"/>
          <w:sz w:val="20"/>
        </w:rPr>
        <w:t>: WKU–Gilbane P3 $3.5억(총 $3.5억 규모 'Elevate WKU' 1단계 Southern Gateway), UF 인근 908 Group 684베드, Morehouse·Spelman 인근 $1.47억 793베드(ATL·평균 수준), SDSU 인근 305베드(착공금융 확보) 등 주요 대학 연계 프로젝트가 동시다발적으로 착공. UW-Madison은 1,700베드 계획을 승인 받아 파이프라인 확대 중.</w:t>
      </w:r>
    </w:p>
    <w:p>
      <w:pPr>
        <w:pStyle w:val="ListBullet"/>
        <w:ind w:left="360"/>
      </w:pPr>
      <w:r>
        <w:rPr>
          <w:rFonts w:ascii="Noto Sans KR" w:hAnsi="Noto Sans KR" w:eastAsia="Noto Sans KR"/>
          <w:b w:val="0"/>
          <w:i w:val="0"/>
          <w:sz w:val="20"/>
        </w:rPr>
      </w:r>
      <w:r>
        <w:rPr>
          <w:rFonts w:ascii="Noto Sans KR" w:hAnsi="Noto Sans KR" w:eastAsia="Noto Sans KR"/>
          <w:b/>
          <w:i w:val="0"/>
          <w:sz w:val="20"/>
        </w:rPr>
        <w:t>Multifamily 신규 착공</w:t>
      </w:r>
      <w:r>
        <w:rPr>
          <w:rFonts w:ascii="Noto Sans KR" w:hAnsi="Noto Sans KR" w:eastAsia="Noto Sans KR"/>
          <w:b w:val="0"/>
          <w:i w:val="0"/>
          <w:sz w:val="20"/>
        </w:rPr>
        <w:t>: High Street Residential·Barings, Redwood City El Camino Real 2개동 501유닛 착공(JV); Trammell Crow, 댈러스 오피스→주거 전환 435유닛(DFW·평균 수준); Thompson Thrift, 인디애나 Fishers District 273유닛 착공. LA 할리우드·잉글우드·노스 스위처 등 소규모 허가 다수 진행(LA·허가 급증).</w:t>
      </w:r>
    </w:p>
    <w:p>
      <w:pPr>
        <w:pStyle w:val="ListBullet"/>
        <w:ind w:left="360"/>
      </w:pPr>
      <w:r>
        <w:rPr>
          <w:rFonts w:ascii="Noto Sans KR" w:hAnsi="Noto Sans KR" w:eastAsia="Noto Sans KR"/>
          <w:b w:val="0"/>
          <w:i w:val="0"/>
          <w:sz w:val="20"/>
        </w:rPr>
      </w:r>
      <w:r>
        <w:rPr>
          <w:rFonts w:ascii="Noto Sans KR" w:hAnsi="Noto Sans KR" w:eastAsia="Noto Sans KR"/>
          <w:b/>
          <w:i w:val="0"/>
          <w:sz w:val="20"/>
        </w:rPr>
        <w:t>BTR(Build-to-Rent) 준공</w:t>
      </w:r>
      <w:r>
        <w:rPr>
          <w:rFonts w:ascii="Noto Sans KR" w:hAnsi="Noto Sans KR" w:eastAsia="Noto Sans KR"/>
          <w:b w:val="0"/>
          <w:i w:val="0"/>
          <w:sz w:val="20"/>
        </w:rPr>
        <w:t>: Lewis Apartments, 웨스트 새크라멘토 208유닛 타운홈형 BTR 커뮤니티 'Independence' 개장. 기존 Sacramento 권역 Tanzanite Homes(211유닛) $5,300만 리파이낸싱 완료와 맞물려 NorCal BTR 공급 활성화 확인.</w:t>
      </w:r>
    </w:p>
    <w:p>
      <w:pPr>
        <w:pStyle w:val="ListBullet"/>
        <w:ind w:left="360"/>
      </w:pPr>
      <w:r>
        <w:rPr>
          <w:rFonts w:ascii="Noto Sans KR" w:hAnsi="Noto Sans KR" w:eastAsia="Noto Sans KR"/>
          <w:b w:val="0"/>
          <w:i w:val="0"/>
          <w:sz w:val="20"/>
        </w:rPr>
      </w:r>
      <w:r>
        <w:rPr>
          <w:rFonts w:ascii="Noto Sans KR" w:hAnsi="Noto Sans KR" w:eastAsia="Noto Sans KR"/>
          <w:b/>
          <w:i w:val="0"/>
          <w:sz w:val="20"/>
        </w:rPr>
        <w:t>Mixed-use·전환 개발</w:t>
      </w:r>
      <w:r>
        <w:rPr>
          <w:rFonts w:ascii="Noto Sans KR" w:hAnsi="Noto Sans KR" w:eastAsia="Noto Sans KR"/>
          <w:b w:val="0"/>
          <w:i w:val="0"/>
          <w:sz w:val="20"/>
        </w:rPr>
        <w:t>: Intersection Development, 애리조나 Roosevelt Row $7,000만 혼합용도 착공; Stimdel Properties, 뉴욕 아스토리아 612유닛 허가 신청; 샌프란시스코 901 Market Street 상업→주거 전환 승인(100유닛 이상 추가). 덴버 Federal Blvd 242유닛 학교부지 활용 개발도 추진 중(DEN·평균 수준).</w:t>
      </w:r>
    </w:p>
    <w:p>
      <w:pPr>
        <w:pStyle w:val="ListBullet"/>
        <w:ind w:left="360"/>
      </w:pPr>
      <w:r>
        <w:rPr>
          <w:rFonts w:ascii="Noto Sans KR" w:hAnsi="Noto Sans KR" w:eastAsia="Noto Sans KR"/>
          <w:b w:val="0"/>
          <w:i w:val="0"/>
          <w:sz w:val="20"/>
        </w:rPr>
      </w:r>
      <w:r>
        <w:rPr>
          <w:rFonts w:ascii="Noto Sans KR" w:hAnsi="Noto Sans KR" w:eastAsia="Noto Sans KR"/>
          <w:b/>
          <w:i w:val="0"/>
          <w:sz w:val="20"/>
        </w:rPr>
        <w:t>공급 과잉 경고</w:t>
      </w:r>
      <w:r>
        <w:rPr>
          <w:rFonts w:ascii="Noto Sans KR" w:hAnsi="Noto Sans KR" w:eastAsia="Noto Sans KR"/>
          <w:b w:val="0"/>
          <w:i w:val="0"/>
          <w:sz w:val="20"/>
        </w:rPr>
        <w:t>: 일부 대학 도시에서 Student Housing 공급 초과 우려가 제기됨(Realtor.com 보도). 콜럼비아·기타 시장에서 베드 증가 속도 대비 수요 점검 필요.</w:t>
      </w:r>
    </w:p>
    <w:p>
      <w:pPr>
        <w:pBdr>
          <w:bottom w:val="single" w:sz="4" w:space="1" w:color="1B3A5C"/>
        </w:pBdr>
      </w:pPr>
    </w:p>
    <w:p/>
    <w:p>
      <w:pPr>
        <w:pBdr>
          <w:bottom w:val="single" w:sz="4" w:space="1" w:color="2E75B6"/>
        </w:pBdr>
      </w:pPr>
      <w:r>
        <w:rPr>
          <w:rFonts w:ascii="Noto Sans KR" w:hAnsi="Noto Sans KR" w:eastAsia="Noto Sans KR"/>
          <w:b/>
          <w:i w:val="0"/>
          <w:color w:val="2E75B6"/>
          <w:sz w:val="26"/>
        </w:rPr>
        <w:t>2. 정책·이슈</w:t>
      </w:r>
    </w:p>
    <w:p>
      <w:pPr>
        <w:pStyle w:val="ListBullet"/>
        <w:ind w:left="360"/>
      </w:pPr>
      <w:r>
        <w:rPr>
          <w:rFonts w:ascii="Noto Sans KR" w:hAnsi="Noto Sans KR" w:eastAsia="Noto Sans KR"/>
          <w:b w:val="0"/>
          <w:i w:val="0"/>
          <w:sz w:val="20"/>
        </w:rPr>
      </w:r>
      <w:r>
        <w:rPr>
          <w:rFonts w:ascii="Noto Sans KR" w:hAnsi="Noto Sans KR" w:eastAsia="Noto Sans KR"/>
          <w:b/>
          <w:i w:val="0"/>
          <w:sz w:val="20"/>
        </w:rPr>
        <w:t>SFR 기관투자자 규제 도입</w:t>
      </w:r>
      <w:r>
        <w:rPr>
          <w:rFonts w:ascii="Noto Sans KR" w:hAnsi="Noto Sans KR" w:eastAsia="Noto Sans KR"/>
          <w:b w:val="0"/>
          <w:i w:val="0"/>
          <w:sz w:val="20"/>
        </w:rPr>
        <w:t>: 재무부·트럼프 행정부, 기관투자자의 단독주택 대량 매입 제한 규정 발표. SFR·BTR 전략 운용 플레이어에게 직접적 영향 예상되며, 개인 임차인 보호 논리로 정치적 지지 확보 중.</w:t>
      </w:r>
    </w:p>
    <w:p>
      <w:pPr>
        <w:pStyle w:val="ListBullet"/>
        <w:ind w:left="360"/>
      </w:pPr>
      <w:r>
        <w:rPr>
          <w:rFonts w:ascii="Noto Sans KR" w:hAnsi="Noto Sans KR" w:eastAsia="Noto Sans KR"/>
          <w:b w:val="0"/>
          <w:i w:val="0"/>
          <w:sz w:val="20"/>
        </w:rPr>
      </w:r>
      <w:r>
        <w:rPr>
          <w:rFonts w:ascii="Noto Sans KR" w:hAnsi="Noto Sans KR" w:eastAsia="Noto Sans KR"/>
          <w:b/>
          <w:i w:val="0"/>
          <w:sz w:val="20"/>
        </w:rPr>
        <w:t>이민 단속 → 건설 노동력 부족 심화</w:t>
      </w:r>
      <w:r>
        <w:rPr>
          <w:rFonts w:ascii="Noto Sans KR" w:hAnsi="Noto Sans KR" w:eastAsia="Noto Sans KR"/>
          <w:b w:val="0"/>
          <w:i w:val="0"/>
          <w:sz w:val="20"/>
        </w:rPr>
        <w:t>: 전체 빌더의 60% 이상이 이민 단속으로 인한 인력 확보 어려움 호소. 관세 인상·연료비 상승과 맞물려 건설비 압력이 이중으로 작용, 9월 Multifamily 착공 건수 감소(인허가·완공은 증가).</w:t>
      </w:r>
    </w:p>
    <w:p>
      <w:pPr>
        <w:pStyle w:val="ListBullet"/>
        <w:ind w:left="360"/>
      </w:pPr>
      <w:r>
        <w:rPr>
          <w:rFonts w:ascii="Noto Sans KR" w:hAnsi="Noto Sans KR" w:eastAsia="Noto Sans KR"/>
          <w:b w:val="0"/>
          <w:i w:val="0"/>
          <w:sz w:val="20"/>
        </w:rPr>
      </w:r>
      <w:r>
        <w:rPr>
          <w:rFonts w:ascii="Noto Sans KR" w:hAnsi="Noto Sans KR" w:eastAsia="Noto Sans KR"/>
          <w:b/>
          <w:i w:val="0"/>
          <w:sz w:val="20"/>
        </w:rPr>
        <w:t>Multifamily CMBS 연체율 재상승</w:t>
      </w:r>
      <w:r>
        <w:rPr>
          <w:rFonts w:ascii="Noto Sans KR" w:hAnsi="Noto Sans KR" w:eastAsia="Noto Sans KR"/>
          <w:b w:val="0"/>
          <w:i w:val="0"/>
          <w:sz w:val="20"/>
        </w:rPr>
        <w:t>: Private-label 7.69%, CRE CLO 3.88%로 연체율이 재차 상승(Trepp). 만기 도래 대출의 1/3이 리파이낸싱을 위해 신규 자기자본 투입 필요—$68억 규모의 추가 에퀴티 갭 추정.</w:t>
      </w:r>
    </w:p>
    <w:p>
      <w:pPr>
        <w:pStyle w:val="ListBullet"/>
        <w:ind w:left="360"/>
      </w:pPr>
      <w:r>
        <w:rPr>
          <w:rFonts w:ascii="Noto Sans KR" w:hAnsi="Noto Sans KR" w:eastAsia="Noto Sans KR"/>
          <w:b w:val="0"/>
          <w:i w:val="0"/>
          <w:sz w:val="20"/>
        </w:rPr>
      </w:r>
      <w:r>
        <w:rPr>
          <w:rFonts w:ascii="Noto Sans KR" w:hAnsi="Noto Sans KR" w:eastAsia="Noto Sans KR"/>
          <w:b/>
          <w:i w:val="0"/>
          <w:sz w:val="20"/>
        </w:rPr>
        <w:t>Yardi 임대료 담합 소송 진행</w:t>
      </w:r>
      <w:r>
        <w:rPr>
          <w:rFonts w:ascii="Noto Sans KR" w:hAnsi="Noto Sans KR" w:eastAsia="Noto Sans KR"/>
          <w:b w:val="0"/>
          <w:i w:val="0"/>
          <w:sz w:val="20"/>
        </w:rPr>
        <w:t>: 워싱턴주 집단소송에서 법원이 Yardi의 약식판결 신청을 기각, 디스커버리 절차 계속 진행. 알고리즘 기반 임대료 책정 플랫폼 전반에 법적 리스크 확산 우려.</w:t>
      </w:r>
    </w:p>
    <w:p>
      <w:pPr>
        <w:pStyle w:val="ListBullet"/>
        <w:ind w:left="360"/>
      </w:pPr>
      <w:r>
        <w:rPr>
          <w:rFonts w:ascii="Noto Sans KR" w:hAnsi="Noto Sans KR" w:eastAsia="Noto Sans KR"/>
          <w:b w:val="0"/>
          <w:i w:val="0"/>
          <w:sz w:val="20"/>
        </w:rPr>
      </w:r>
      <w:r>
        <w:rPr>
          <w:rFonts w:ascii="Noto Sans KR" w:hAnsi="Noto Sans KR" w:eastAsia="Noto Sans KR"/>
          <w:b/>
          <w:i w:val="0"/>
          <w:sz w:val="20"/>
        </w:rPr>
        <w:t>기회구역(OZ) 세제 변경</w:t>
      </w:r>
      <w:r>
        <w:rPr>
          <w:rFonts w:ascii="Noto Sans KR" w:hAnsi="Noto Sans KR" w:eastAsia="Noto Sans KR"/>
          <w:b w:val="0"/>
          <w:i w:val="0"/>
          <w:sz w:val="20"/>
        </w:rPr>
        <w:t>: 약 10만 명 개인·법인 투자자가 $1,000억 이상을 QOF에 투입한 가운데, OZ 관련 세제 변경사항 주목 필요. 리파이낸싱 부담이 큰 선벨트 자산군과 OZ 교차 지역에서 엑싯 전략 재검토 움직임.</w:t>
      </w:r>
    </w:p>
    <w:p>
      <w:pPr>
        <w:pBdr>
          <w:bottom w:val="single" w:sz="4" w:space="1" w:color="1B3A5C"/>
        </w:pBdr>
      </w:pPr>
    </w:p>
    <w:p/>
    <w:p>
      <w:pPr>
        <w:pBdr>
          <w:bottom w:val="single" w:sz="4" w:space="1" w:color="2E75B6"/>
        </w:pBdr>
      </w:pPr>
      <w:r>
        <w:rPr>
          <w:rFonts w:ascii="Noto Sans KR" w:hAnsi="Noto Sans KR" w:eastAsia="Noto Sans KR"/>
          <w:b/>
          <w:i w:val="0"/>
          <w:color w:val="2E75B6"/>
          <w:sz w:val="26"/>
        </w:rPr>
        <w:t>3. 거래 현황</w:t>
      </w:r>
    </w:p>
    <w:p>
      <w:pPr>
        <w:pStyle w:val="ListBullet"/>
        <w:ind w:left="360"/>
      </w:pPr>
      <w:r>
        <w:rPr>
          <w:rFonts w:ascii="Noto Sans KR" w:hAnsi="Noto Sans KR" w:eastAsia="Noto Sans KR"/>
          <w:b w:val="0"/>
          <w:i w:val="0"/>
          <w:sz w:val="20"/>
        </w:rPr>
      </w:r>
      <w:r>
        <w:rPr>
          <w:rFonts w:ascii="Noto Sans KR" w:hAnsi="Noto Sans KR" w:eastAsia="Noto Sans KR"/>
          <w:b/>
          <w:i w:val="0"/>
          <w:sz w:val="20"/>
        </w:rPr>
        <w:t>대형 JV·포트폴리오 딜</w:t>
      </w:r>
      <w:r>
        <w:rPr>
          <w:rFonts w:ascii="Noto Sans KR" w:hAnsi="Noto Sans KR" w:eastAsia="Noto Sans KR"/>
          <w:b w:val="0"/>
          <w:i w:val="0"/>
          <w:sz w:val="20"/>
        </w:rPr>
        <w:t>: Apollo·UDR, 19개 단지 7,059유닛 $20억 규모 JV 체결(Apollo $13.4억 에퀴티, ~6% 캡레이트). EQT, 주거·산업 특화 운용사 Stockbridge를 $3.75억(추가 어닝아웃 $1.75억)에 전액 현금 인수. Hines, 플로리다·시카고 소재 Multifamily DST 오퍼링 $5.91억 클로징(역대 최대).</w:t>
      </w:r>
    </w:p>
    <w:p>
      <w:pPr>
        <w:pStyle w:val="ListBullet"/>
        <w:ind w:left="360"/>
      </w:pPr>
      <w:r>
        <w:rPr>
          <w:rFonts w:ascii="Noto Sans KR" w:hAnsi="Noto Sans KR" w:eastAsia="Noto Sans KR"/>
          <w:b w:val="0"/>
          <w:i w:val="0"/>
          <w:sz w:val="20"/>
        </w:rPr>
      </w:r>
      <w:r>
        <w:rPr>
          <w:rFonts w:ascii="Noto Sans KR" w:hAnsi="Noto Sans KR" w:eastAsia="Noto Sans KR"/>
          <w:b/>
          <w:i w:val="0"/>
          <w:sz w:val="20"/>
        </w:rPr>
        <w:t>Student Housing 거래 활발</w:t>
      </w:r>
      <w:r>
        <w:rPr>
          <w:rFonts w:ascii="Noto Sans KR" w:hAnsi="Noto Sans KR" w:eastAsia="Noto Sans KR"/>
          <w:b w:val="0"/>
          <w:i w:val="0"/>
          <w:sz w:val="20"/>
        </w:rPr>
        <w:t>: IPA, 실리콘밸리 학생기숙사 하이라이즈 $2.048억 매각 중개; FIU 학생기숙사 비영리 매각 $1.69억; The Michaels Organization, VCU 인근 540베드 커뮤니티 인수. 플로리다·캘리포니아 중심 기관급 Student Housing 자산 거래 지속.</w:t>
      </w:r>
    </w:p>
    <w:p>
      <w:pPr>
        <w:pStyle w:val="ListBullet"/>
        <w:ind w:left="360"/>
      </w:pPr>
      <w:r>
        <w:rPr>
          <w:rFonts w:ascii="Noto Sans KR" w:hAnsi="Noto Sans KR" w:eastAsia="Noto Sans KR"/>
          <w:b w:val="0"/>
          <w:i w:val="0"/>
          <w:sz w:val="20"/>
        </w:rPr>
      </w:r>
      <w:r>
        <w:rPr>
          <w:rFonts w:ascii="Noto Sans KR" w:hAnsi="Noto Sans KR" w:eastAsia="Noto Sans KR"/>
          <w:b/>
          <w:i w:val="0"/>
          <w:sz w:val="20"/>
        </w:rPr>
        <w:t>Blackstone 대형 CMBS 리스크</w:t>
      </w:r>
      <w:r>
        <w:rPr>
          <w:rFonts w:ascii="Noto Sans KR" w:hAnsi="Noto Sans KR" w:eastAsia="Noto Sans KR"/>
          <w:b w:val="0"/>
          <w:i w:val="0"/>
          <w:sz w:val="20"/>
        </w:rPr>
        <w:t>: 2021년 조성 $13억 CMBS 대출이 만기 도과로 Special Servicing 이관. 15개 자산 매각 진행 중 6개 자산이 추가 이관—LivCor의 LA 302유닛 자산이 $6,000만(2018년 대비 -33.3%)에 매각(LA·허가 급증). 선벨트 Multifamily 디스트레스 현실화.</w:t>
      </w:r>
    </w:p>
    <w:p>
      <w:pPr>
        <w:pStyle w:val="ListBullet"/>
        <w:ind w:left="360"/>
      </w:pPr>
      <w:r>
        <w:rPr>
          <w:rFonts w:ascii="Noto Sans KR" w:hAnsi="Noto Sans KR" w:eastAsia="Noto Sans KR"/>
          <w:b w:val="0"/>
          <w:i w:val="0"/>
          <w:sz w:val="20"/>
        </w:rPr>
      </w:r>
      <w:r>
        <w:rPr>
          <w:rFonts w:ascii="Noto Sans KR" w:hAnsi="Noto Sans KR" w:eastAsia="Noto Sans KR"/>
          <w:b/>
          <w:i w:val="0"/>
          <w:sz w:val="20"/>
        </w:rPr>
        <w:t>SoCal·남동부 리파이낸싱 집중</w:t>
      </w:r>
      <w:r>
        <w:rPr>
          <w:rFonts w:ascii="Noto Sans KR" w:hAnsi="Noto Sans KR" w:eastAsia="Noto Sans KR"/>
          <w:b w:val="0"/>
          <w:i w:val="0"/>
          <w:sz w:val="20"/>
        </w:rPr>
        <w:t>: E&amp;S Ring, LA·인랜드 엠파이어 6개 단지 1,461유닛 $9,580만 Voya 리파이낸싱; ORIX, 애틀랜타 Buckhead 391유닛 $8,300만 New York Life 론으로 인수(ATL·평균 수준); JLL, 노스캐롤라이나 316유닛 $6,210만 리파이낸싱 주선.</w:t>
      </w:r>
    </w:p>
    <w:p>
      <w:pPr>
        <w:pStyle w:val="ListBullet"/>
        <w:ind w:left="360"/>
      </w:pPr>
      <w:r>
        <w:rPr>
          <w:rFonts w:ascii="Noto Sans KR" w:hAnsi="Noto Sans KR" w:eastAsia="Noto Sans KR"/>
          <w:b w:val="0"/>
          <w:i w:val="0"/>
          <w:sz w:val="20"/>
        </w:rPr>
      </w:r>
      <w:r>
        <w:rPr>
          <w:rFonts w:ascii="Noto Sans KR" w:hAnsi="Noto Sans KR" w:eastAsia="Noto Sans KR"/>
          <w:b/>
          <w:i w:val="0"/>
          <w:sz w:val="20"/>
        </w:rPr>
        <w:t>신규 펀드 클로징</w:t>
      </w:r>
      <w:r>
        <w:rPr>
          <w:rFonts w:ascii="Noto Sans KR" w:hAnsi="Noto Sans KR" w:eastAsia="Noto Sans KR"/>
          <w:b w:val="0"/>
          <w:i w:val="0"/>
          <w:sz w:val="20"/>
        </w:rPr>
        <w:t>: Continental Properties, Multifamily 개발펀드 IV $2.03억 클로징(목표 초과); Northwind Group, 부채펀드 III $10억 클로징(목표의 2배); Endeavor, 텍사스 중심 CRE 펀드 $2.1억 클로징. 자기자본 조달 시장은 셀렉티브하게 활성화.</w:t>
      </w:r>
    </w:p>
    <w:p>
      <w:pPr>
        <w:pBdr>
          <w:bottom w:val="single" w:sz="4" w:space="1" w:color="1B3A5C"/>
        </w:pBdr>
      </w:pPr>
    </w:p>
    <w:p/>
    <w:p>
      <w:pPr>
        <w:pBdr>
          <w:bottom w:val="single" w:sz="4" w:space="1" w:color="2E75B6"/>
        </w:pBdr>
      </w:pPr>
      <w:r>
        <w:rPr>
          <w:rFonts w:ascii="Noto Sans KR" w:hAnsi="Noto Sans KR" w:eastAsia="Noto Sans KR"/>
          <w:b/>
          <w:i w:val="0"/>
          <w:color w:val="2E75B6"/>
          <w:sz w:val="26"/>
        </w:rPr>
        <w:t>시장 데이터(공급) — WATCH 7</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rFonts w:ascii="Noto Sans KR" w:hAnsi="Noto Sans KR" w:eastAsia="Noto Sans KR"/>
                <w:b/>
                <w:i w:val="0"/>
                <w:sz w:val="18"/>
              </w:rPr>
              <w:t>지역</w:t>
            </w:r>
          </w:p>
        </w:tc>
        <w:tc>
          <w:tcPr>
            <w:tcW w:type="dxa" w:w="1560"/>
          </w:tcPr>
          <w:p>
            <w:r>
              <w:rPr>
                <w:rFonts w:ascii="Noto Sans KR" w:hAnsi="Noto Sans KR" w:eastAsia="Noto Sans KR"/>
                <w:b/>
                <w:i w:val="0"/>
                <w:sz w:val="18"/>
              </w:rPr>
              <w:t>최근 12개월 건축허가(5유닛 이상)</w:t>
            </w:r>
          </w:p>
        </w:tc>
        <w:tc>
          <w:tcPr>
            <w:tcW w:type="dxa" w:w="1560"/>
          </w:tcPr>
          <w:p>
            <w:r>
              <w:rPr>
                <w:rFonts w:ascii="Noto Sans KR" w:hAnsi="Noto Sans KR" w:eastAsia="Noto Sans KR"/>
                <w:b/>
                <w:i w:val="0"/>
                <w:sz w:val="18"/>
              </w:rPr>
              <w:t>3년 평균</w:t>
            </w:r>
          </w:p>
        </w:tc>
        <w:tc>
          <w:tcPr>
            <w:tcW w:type="dxa" w:w="1560"/>
          </w:tcPr>
          <w:p>
            <w:r>
              <w:rPr>
                <w:rFonts w:ascii="Noto Sans KR" w:hAnsi="Noto Sans KR" w:eastAsia="Noto Sans KR"/>
                <w:b/>
                <w:i w:val="0"/>
                <w:sz w:val="18"/>
              </w:rPr>
              <w:t>평균 대비</w:t>
            </w:r>
          </w:p>
        </w:tc>
        <w:tc>
          <w:tcPr>
            <w:tcW w:type="dxa" w:w="1560"/>
          </w:tcPr>
          <w:p>
            <w:r>
              <w:rPr>
                <w:rFonts w:ascii="Noto Sans KR" w:hAnsi="Noto Sans KR" w:eastAsia="Noto Sans KR"/>
                <w:b/>
                <w:i w:val="0"/>
                <w:sz w:val="18"/>
              </w:rPr>
              <w:t>판정</w:t>
            </w:r>
          </w:p>
        </w:tc>
        <w:tc>
          <w:tcPr>
            <w:tcW w:type="dxa" w:w="1560"/>
          </w:tcPr>
          <w:p>
            <w:r>
              <w:rPr>
                <w:rFonts w:ascii="Noto Sans KR" w:hAnsi="Noto Sans KR" w:eastAsia="Noto Sans KR"/>
                <w:b/>
                <w:i w:val="0"/>
                <w:sz w:val="18"/>
              </w:rPr>
              <w:t>2027 예상 준공</w:t>
            </w:r>
          </w:p>
        </w:tc>
      </w:tr>
      <w:tr>
        <w:tc>
          <w:tcPr>
            <w:tcW w:type="dxa" w:w="1560"/>
          </w:tcPr>
          <w:p>
            <w:r>
              <w:rPr>
                <w:rFonts w:ascii="Noto Sans KR" w:hAnsi="Noto Sans KR" w:eastAsia="Noto Sans KR"/>
                <w:b w:val="0"/>
                <w:i w:val="0"/>
                <w:sz w:val="18"/>
              </w:rPr>
              <w:t>ATL · Atlanta-Sandy Springs-Roswell, GA</w:t>
            </w:r>
          </w:p>
        </w:tc>
        <w:tc>
          <w:tcPr>
            <w:tcW w:type="dxa" w:w="1560"/>
          </w:tcPr>
          <w:p>
            <w:r>
              <w:rPr>
                <w:rFonts w:ascii="Noto Sans KR" w:hAnsi="Noto Sans KR" w:eastAsia="Noto Sans KR"/>
                <w:b w:val="0"/>
                <w:i w:val="0"/>
                <w:sz w:val="18"/>
              </w:rPr>
              <w:t>12,140</w:t>
            </w:r>
          </w:p>
        </w:tc>
        <w:tc>
          <w:tcPr>
            <w:tcW w:type="dxa" w:w="1560"/>
          </w:tcPr>
          <w:p>
            <w:r>
              <w:rPr>
                <w:rFonts w:ascii="Noto Sans KR" w:hAnsi="Noto Sans KR" w:eastAsia="Noto Sans KR"/>
                <w:b w:val="0"/>
                <w:i w:val="0"/>
                <w:sz w:val="18"/>
              </w:rPr>
              <w:t>13,303</w:t>
            </w:r>
          </w:p>
        </w:tc>
        <w:tc>
          <w:tcPr>
            <w:tcW w:type="dxa" w:w="1560"/>
          </w:tcPr>
          <w:p>
            <w:r>
              <w:rPr>
                <w:rFonts w:ascii="Noto Sans KR" w:hAnsi="Noto Sans KR" w:eastAsia="Noto Sans KR"/>
                <w:b w:val="0"/>
                <w:i w:val="0"/>
                <w:sz w:val="18"/>
              </w:rPr>
              <w:t>91%</w:t>
            </w:r>
          </w:p>
        </w:tc>
        <w:tc>
          <w:tcPr>
            <w:tcW w:type="dxa" w:w="1560"/>
          </w:tcPr>
          <w:p>
            <w:r>
              <w:rPr>
                <w:rFonts w:ascii="Noto Sans KR" w:hAnsi="Noto Sans KR" w:eastAsia="Noto Sans KR"/>
                <w:b w:val="0"/>
                <w:i w:val="0"/>
                <w:sz w:val="18"/>
              </w:rPr>
              <w:t>평균 수준</w:t>
            </w:r>
          </w:p>
        </w:tc>
        <w:tc>
          <w:tcPr>
            <w:tcW w:type="dxa" w:w="1560"/>
          </w:tcPr>
          <w:p>
            <w:r>
              <w:rPr>
                <w:rFonts w:ascii="Noto Sans KR" w:hAnsi="Noto Sans KR" w:eastAsia="Noto Sans KR"/>
                <w:b w:val="0"/>
                <w:i w:val="0"/>
                <w:sz w:val="18"/>
              </w:rPr>
              <w:t>9,878</w:t>
            </w:r>
          </w:p>
        </w:tc>
      </w:tr>
      <w:tr>
        <w:tc>
          <w:tcPr>
            <w:tcW w:type="dxa" w:w="1560"/>
          </w:tcPr>
          <w:p>
            <w:r>
              <w:rPr>
                <w:rFonts w:ascii="Noto Sans KR" w:hAnsi="Noto Sans KR" w:eastAsia="Noto Sans KR"/>
                <w:b w:val="0"/>
                <w:i w:val="0"/>
                <w:sz w:val="18"/>
              </w:rPr>
              <w:t>DFW · Dallas-Fort Worth-Arlington, TX</w:t>
            </w:r>
          </w:p>
        </w:tc>
        <w:tc>
          <w:tcPr>
            <w:tcW w:type="dxa" w:w="1560"/>
          </w:tcPr>
          <w:p>
            <w:r>
              <w:rPr>
                <w:rFonts w:ascii="Noto Sans KR" w:hAnsi="Noto Sans KR" w:eastAsia="Noto Sans KR"/>
                <w:b w:val="0"/>
                <w:i w:val="0"/>
                <w:sz w:val="18"/>
              </w:rPr>
              <w:t>21,557</w:t>
            </w:r>
          </w:p>
        </w:tc>
        <w:tc>
          <w:tcPr>
            <w:tcW w:type="dxa" w:w="1560"/>
          </w:tcPr>
          <w:p>
            <w:r>
              <w:rPr>
                <w:rFonts w:ascii="Noto Sans KR" w:hAnsi="Noto Sans KR" w:eastAsia="Noto Sans KR"/>
                <w:b w:val="0"/>
                <w:i w:val="0"/>
                <w:sz w:val="18"/>
              </w:rPr>
              <w:t>23,649</w:t>
            </w:r>
          </w:p>
        </w:tc>
        <w:tc>
          <w:tcPr>
            <w:tcW w:type="dxa" w:w="1560"/>
          </w:tcPr>
          <w:p>
            <w:r>
              <w:rPr>
                <w:rFonts w:ascii="Noto Sans KR" w:hAnsi="Noto Sans KR" w:eastAsia="Noto Sans KR"/>
                <w:b w:val="0"/>
                <w:i w:val="0"/>
                <w:sz w:val="18"/>
              </w:rPr>
              <w:t>91%</w:t>
            </w:r>
          </w:p>
        </w:tc>
        <w:tc>
          <w:tcPr>
            <w:tcW w:type="dxa" w:w="1560"/>
          </w:tcPr>
          <w:p>
            <w:r>
              <w:rPr>
                <w:rFonts w:ascii="Noto Sans KR" w:hAnsi="Noto Sans KR" w:eastAsia="Noto Sans KR"/>
                <w:b w:val="0"/>
                <w:i w:val="0"/>
                <w:sz w:val="18"/>
              </w:rPr>
              <w:t>평균 수준</w:t>
            </w:r>
          </w:p>
        </w:tc>
        <w:tc>
          <w:tcPr>
            <w:tcW w:type="dxa" w:w="1560"/>
          </w:tcPr>
          <w:p>
            <w:r>
              <w:rPr>
                <w:rFonts w:ascii="Noto Sans KR" w:hAnsi="Noto Sans KR" w:eastAsia="Noto Sans KR"/>
                <w:b w:val="0"/>
                <w:i w:val="0"/>
                <w:sz w:val="18"/>
              </w:rPr>
              <w:t>27,018</w:t>
            </w:r>
          </w:p>
        </w:tc>
      </w:tr>
      <w:tr>
        <w:tc>
          <w:tcPr>
            <w:tcW w:type="dxa" w:w="1560"/>
          </w:tcPr>
          <w:p>
            <w:r>
              <w:rPr>
                <w:rFonts w:ascii="Noto Sans KR" w:hAnsi="Noto Sans KR" w:eastAsia="Noto Sans KR"/>
                <w:b w:val="0"/>
                <w:i w:val="0"/>
                <w:sz w:val="18"/>
              </w:rPr>
              <w:t>LA · Los Angeles-Long Beach-Anaheim, CA</w:t>
            </w:r>
          </w:p>
        </w:tc>
        <w:tc>
          <w:tcPr>
            <w:tcW w:type="dxa" w:w="1560"/>
          </w:tcPr>
          <w:p>
            <w:r>
              <w:rPr>
                <w:rFonts w:ascii="Noto Sans KR" w:hAnsi="Noto Sans KR" w:eastAsia="Noto Sans KR"/>
                <w:b w:val="0"/>
                <w:i w:val="0"/>
                <w:sz w:val="18"/>
              </w:rPr>
              <w:t>21,086</w:t>
            </w:r>
          </w:p>
        </w:tc>
        <w:tc>
          <w:tcPr>
            <w:tcW w:type="dxa" w:w="1560"/>
          </w:tcPr>
          <w:p>
            <w:r>
              <w:rPr>
                <w:rFonts w:ascii="Noto Sans KR" w:hAnsi="Noto Sans KR" w:eastAsia="Noto Sans KR"/>
                <w:b w:val="0"/>
                <w:i w:val="0"/>
                <w:sz w:val="18"/>
              </w:rPr>
              <w:t>14,428</w:t>
            </w:r>
          </w:p>
        </w:tc>
        <w:tc>
          <w:tcPr>
            <w:tcW w:type="dxa" w:w="1560"/>
          </w:tcPr>
          <w:p>
            <w:r>
              <w:rPr>
                <w:rFonts w:ascii="Noto Sans KR" w:hAnsi="Noto Sans KR" w:eastAsia="Noto Sans KR"/>
                <w:b w:val="0"/>
                <w:i w:val="0"/>
                <w:sz w:val="18"/>
              </w:rPr>
              <w:t>146%</w:t>
            </w:r>
          </w:p>
        </w:tc>
        <w:tc>
          <w:tcPr>
            <w:tcW w:type="dxa" w:w="1560"/>
          </w:tcPr>
          <w:p>
            <w:r>
              <w:rPr>
                <w:rFonts w:ascii="Noto Sans KR" w:hAnsi="Noto Sans KR" w:eastAsia="Noto Sans KR"/>
                <w:b w:val="0"/>
                <w:i w:val="0"/>
                <w:sz w:val="18"/>
              </w:rPr>
              <w:t>허가 급증</w:t>
            </w:r>
          </w:p>
        </w:tc>
        <w:tc>
          <w:tcPr>
            <w:tcW w:type="dxa" w:w="1560"/>
          </w:tcPr>
          <w:p>
            <w:r>
              <w:rPr>
                <w:rFonts w:ascii="Noto Sans KR" w:hAnsi="Noto Sans KR" w:eastAsia="Noto Sans KR"/>
                <w:b w:val="0"/>
                <w:i w:val="0"/>
                <w:sz w:val="18"/>
              </w:rPr>
              <w:t>14,566</w:t>
            </w:r>
          </w:p>
        </w:tc>
      </w:tr>
      <w:tr>
        <w:tc>
          <w:tcPr>
            <w:tcW w:type="dxa" w:w="1560"/>
          </w:tcPr>
          <w:p>
            <w:r>
              <w:rPr>
                <w:rFonts w:ascii="Noto Sans KR" w:hAnsi="Noto Sans KR" w:eastAsia="Noto Sans KR"/>
                <w:b w:val="0"/>
                <w:i w:val="0"/>
                <w:sz w:val="18"/>
              </w:rPr>
              <w:t>SEA · Seattle-Tacoma-Bellevue, WA</w:t>
            </w:r>
          </w:p>
        </w:tc>
        <w:tc>
          <w:tcPr>
            <w:tcW w:type="dxa" w:w="1560"/>
          </w:tcPr>
          <w:p>
            <w:r>
              <w:rPr>
                <w:rFonts w:ascii="Noto Sans KR" w:hAnsi="Noto Sans KR" w:eastAsia="Noto Sans KR"/>
                <w:b w:val="0"/>
                <w:i w:val="0"/>
                <w:sz w:val="18"/>
              </w:rPr>
              <w:t>12,983</w:t>
            </w:r>
          </w:p>
        </w:tc>
        <w:tc>
          <w:tcPr>
            <w:tcW w:type="dxa" w:w="1560"/>
          </w:tcPr>
          <w:p>
            <w:r>
              <w:rPr>
                <w:rFonts w:ascii="Noto Sans KR" w:hAnsi="Noto Sans KR" w:eastAsia="Noto Sans KR"/>
                <w:b w:val="0"/>
                <w:i w:val="0"/>
                <w:sz w:val="18"/>
              </w:rPr>
              <w:t>9,760</w:t>
            </w:r>
          </w:p>
        </w:tc>
        <w:tc>
          <w:tcPr>
            <w:tcW w:type="dxa" w:w="1560"/>
          </w:tcPr>
          <w:p>
            <w:r>
              <w:rPr>
                <w:rFonts w:ascii="Noto Sans KR" w:hAnsi="Noto Sans KR" w:eastAsia="Noto Sans KR"/>
                <w:b w:val="0"/>
                <w:i w:val="0"/>
                <w:sz w:val="18"/>
              </w:rPr>
              <w:t>133%</w:t>
            </w:r>
          </w:p>
        </w:tc>
        <w:tc>
          <w:tcPr>
            <w:tcW w:type="dxa" w:w="1560"/>
          </w:tcPr>
          <w:p>
            <w:r>
              <w:rPr>
                <w:rFonts w:ascii="Noto Sans KR" w:hAnsi="Noto Sans KR" w:eastAsia="Noto Sans KR"/>
                <w:b w:val="0"/>
                <w:i w:val="0"/>
                <w:sz w:val="18"/>
              </w:rPr>
              <w:t>허가 급증</w:t>
            </w:r>
          </w:p>
        </w:tc>
        <w:tc>
          <w:tcPr>
            <w:tcW w:type="dxa" w:w="1560"/>
          </w:tcPr>
          <w:p>
            <w:r>
              <w:rPr>
                <w:rFonts w:ascii="Noto Sans KR" w:hAnsi="Noto Sans KR" w:eastAsia="Noto Sans KR"/>
                <w:b w:val="0"/>
                <w:i w:val="0"/>
                <w:sz w:val="18"/>
              </w:rPr>
              <w:t>8,220</w:t>
            </w:r>
          </w:p>
        </w:tc>
      </w:tr>
      <w:tr>
        <w:tc>
          <w:tcPr>
            <w:tcW w:type="dxa" w:w="1560"/>
          </w:tcPr>
          <w:p>
            <w:r>
              <w:rPr>
                <w:rFonts w:ascii="Noto Sans KR" w:hAnsi="Noto Sans KR" w:eastAsia="Noto Sans KR"/>
                <w:b w:val="0"/>
                <w:i w:val="0"/>
                <w:sz w:val="18"/>
              </w:rPr>
              <w:t>DEN · Denver-Aurora-Centennial, CO</w:t>
            </w:r>
          </w:p>
        </w:tc>
        <w:tc>
          <w:tcPr>
            <w:tcW w:type="dxa" w:w="1560"/>
          </w:tcPr>
          <w:p>
            <w:r>
              <w:rPr>
                <w:rFonts w:ascii="Noto Sans KR" w:hAnsi="Noto Sans KR" w:eastAsia="Noto Sans KR"/>
                <w:b w:val="0"/>
                <w:i w:val="0"/>
                <w:sz w:val="18"/>
              </w:rPr>
              <w:t>7,738</w:t>
            </w:r>
          </w:p>
        </w:tc>
        <w:tc>
          <w:tcPr>
            <w:tcW w:type="dxa" w:w="1560"/>
          </w:tcPr>
          <w:p>
            <w:r>
              <w:rPr>
                <w:rFonts w:ascii="Noto Sans KR" w:hAnsi="Noto Sans KR" w:eastAsia="Noto Sans KR"/>
                <w:b w:val="0"/>
                <w:i w:val="0"/>
                <w:sz w:val="18"/>
              </w:rPr>
              <w:t>9,140</w:t>
            </w:r>
          </w:p>
        </w:tc>
        <w:tc>
          <w:tcPr>
            <w:tcW w:type="dxa" w:w="1560"/>
          </w:tcPr>
          <w:p>
            <w:r>
              <w:rPr>
                <w:rFonts w:ascii="Noto Sans KR" w:hAnsi="Noto Sans KR" w:eastAsia="Noto Sans KR"/>
                <w:b w:val="0"/>
                <w:i w:val="0"/>
                <w:sz w:val="18"/>
              </w:rPr>
              <w:t>85%</w:t>
            </w:r>
          </w:p>
        </w:tc>
        <w:tc>
          <w:tcPr>
            <w:tcW w:type="dxa" w:w="1560"/>
          </w:tcPr>
          <w:p>
            <w:r>
              <w:rPr>
                <w:rFonts w:ascii="Noto Sans KR" w:hAnsi="Noto Sans KR" w:eastAsia="Noto Sans KR"/>
                <w:b w:val="0"/>
                <w:i w:val="0"/>
                <w:sz w:val="18"/>
              </w:rPr>
              <w:t>평균 수준</w:t>
            </w:r>
          </w:p>
        </w:tc>
        <w:tc>
          <w:tcPr>
            <w:tcW w:type="dxa" w:w="1560"/>
          </w:tcPr>
          <w:p>
            <w:r>
              <w:rPr>
                <w:rFonts w:ascii="Noto Sans KR" w:hAnsi="Noto Sans KR" w:eastAsia="Noto Sans KR"/>
                <w:b w:val="0"/>
                <w:i w:val="0"/>
                <w:sz w:val="18"/>
              </w:rPr>
              <w:t>8,308</w:t>
            </w:r>
          </w:p>
        </w:tc>
      </w:tr>
      <w:tr>
        <w:tc>
          <w:tcPr>
            <w:tcW w:type="dxa" w:w="1560"/>
          </w:tcPr>
          <w:p>
            <w:r>
              <w:rPr>
                <w:rFonts w:ascii="Noto Sans KR" w:hAnsi="Noto Sans KR" w:eastAsia="Noto Sans KR"/>
                <w:b w:val="0"/>
                <w:i w:val="0"/>
                <w:sz w:val="18"/>
              </w:rPr>
              <w:t>PHX · Phoenix-Mesa-Chandler, AZ</w:t>
            </w:r>
          </w:p>
        </w:tc>
        <w:tc>
          <w:tcPr>
            <w:tcW w:type="dxa" w:w="1560"/>
          </w:tcPr>
          <w:p>
            <w:r>
              <w:rPr>
                <w:rFonts w:ascii="Noto Sans KR" w:hAnsi="Noto Sans KR" w:eastAsia="Noto Sans KR"/>
                <w:b w:val="0"/>
                <w:i w:val="0"/>
                <w:sz w:val="18"/>
              </w:rPr>
              <w:t>13,365</w:t>
            </w:r>
          </w:p>
        </w:tc>
        <w:tc>
          <w:tcPr>
            <w:tcW w:type="dxa" w:w="1560"/>
          </w:tcPr>
          <w:p>
            <w:r>
              <w:rPr>
                <w:rFonts w:ascii="Noto Sans KR" w:hAnsi="Noto Sans KR" w:eastAsia="Noto Sans KR"/>
                <w:b w:val="0"/>
                <w:i w:val="0"/>
                <w:sz w:val="18"/>
              </w:rPr>
              <w:t>15,277</w:t>
            </w:r>
          </w:p>
        </w:tc>
        <w:tc>
          <w:tcPr>
            <w:tcW w:type="dxa" w:w="1560"/>
          </w:tcPr>
          <w:p>
            <w:r>
              <w:rPr>
                <w:rFonts w:ascii="Noto Sans KR" w:hAnsi="Noto Sans KR" w:eastAsia="Noto Sans KR"/>
                <w:b w:val="0"/>
                <w:i w:val="0"/>
                <w:sz w:val="18"/>
              </w:rPr>
              <w:t>88%</w:t>
            </w:r>
          </w:p>
        </w:tc>
        <w:tc>
          <w:tcPr>
            <w:tcW w:type="dxa" w:w="1560"/>
          </w:tcPr>
          <w:p>
            <w:r>
              <w:rPr>
                <w:rFonts w:ascii="Noto Sans KR" w:hAnsi="Noto Sans KR" w:eastAsia="Noto Sans KR"/>
                <w:b w:val="0"/>
                <w:i w:val="0"/>
                <w:sz w:val="18"/>
              </w:rPr>
              <w:t>평균 수준</w:t>
            </w:r>
          </w:p>
        </w:tc>
        <w:tc>
          <w:tcPr>
            <w:tcW w:type="dxa" w:w="1560"/>
          </w:tcPr>
          <w:p>
            <w:r>
              <w:rPr>
                <w:rFonts w:ascii="Noto Sans KR" w:hAnsi="Noto Sans KR" w:eastAsia="Noto Sans KR"/>
                <w:b w:val="0"/>
                <w:i w:val="0"/>
                <w:sz w:val="18"/>
              </w:rPr>
              <w:t>14,260</w:t>
            </w:r>
          </w:p>
        </w:tc>
      </w:tr>
      <w:tr>
        <w:tc>
          <w:tcPr>
            <w:tcW w:type="dxa" w:w="1560"/>
          </w:tcPr>
          <w:p>
            <w:r>
              <w:rPr>
                <w:rFonts w:ascii="Noto Sans KR" w:hAnsi="Noto Sans KR" w:eastAsia="Noto Sans KR"/>
                <w:b w:val="0"/>
                <w:i w:val="0"/>
                <w:sz w:val="18"/>
              </w:rPr>
              <w:t>COMO · Columbia, MO</w:t>
            </w:r>
          </w:p>
        </w:tc>
        <w:tc>
          <w:tcPr>
            <w:tcW w:type="dxa" w:w="1560"/>
          </w:tcPr>
          <w:p>
            <w:r>
              <w:rPr>
                <w:rFonts w:ascii="Noto Sans KR" w:hAnsi="Noto Sans KR" w:eastAsia="Noto Sans KR"/>
                <w:b w:val="0"/>
                <w:i w:val="0"/>
                <w:sz w:val="18"/>
              </w:rPr>
              <w:t>—</w:t>
            </w:r>
          </w:p>
        </w:tc>
        <w:tc>
          <w:tcPr>
            <w:tcW w:type="dxa" w:w="1560"/>
          </w:tcPr>
          <w:p>
            <w:r>
              <w:rPr>
                <w:rFonts w:ascii="Noto Sans KR" w:hAnsi="Noto Sans KR" w:eastAsia="Noto Sans KR"/>
                <w:b w:val="0"/>
                <w:i w:val="0"/>
                <w:sz w:val="18"/>
              </w:rPr>
              <w:t>—</w:t>
            </w:r>
          </w:p>
        </w:tc>
        <w:tc>
          <w:tcPr>
            <w:tcW w:type="dxa" w:w="1560"/>
          </w:tcPr>
          <w:p>
            <w:r>
              <w:rPr>
                <w:rFonts w:ascii="Noto Sans KR" w:hAnsi="Noto Sans KR" w:eastAsia="Noto Sans KR"/>
                <w:b w:val="0"/>
                <w:i w:val="0"/>
                <w:sz w:val="18"/>
              </w:rPr>
              <w:t>—</w:t>
            </w:r>
          </w:p>
        </w:tc>
        <w:tc>
          <w:tcPr>
            <w:tcW w:type="dxa" w:w="1560"/>
          </w:tcPr>
          <w:p>
            <w:r>
              <w:rPr>
                <w:rFonts w:ascii="Noto Sans KR" w:hAnsi="Noto Sans KR" w:eastAsia="Noto Sans KR"/>
                <w:b w:val="0"/>
                <w:i w:val="0"/>
                <w:sz w:val="18"/>
              </w:rPr>
              <w:t>판정 제외(물량 부족)</w:t>
            </w:r>
          </w:p>
        </w:tc>
        <w:tc>
          <w:tcPr>
            <w:tcW w:type="dxa" w:w="1560"/>
          </w:tcPr>
          <w:p>
            <w:r>
              <w:rPr>
                <w:rFonts w:ascii="Noto Sans KR" w:hAnsi="Noto Sans KR" w:eastAsia="Noto Sans KR"/>
                <w:b w:val="0"/>
                <w:i w:val="0"/>
                <w:sz w:val="18"/>
              </w:rPr>
              <w:t>—</w:t>
            </w:r>
          </w:p>
        </w:tc>
      </w:tr>
    </w:tbl>
    <w:p>
      <w:r>
        <w:rPr>
          <w:rFonts w:ascii="Noto Sans KR" w:hAnsi="Noto Sans KR" w:eastAsia="Noto Sans KR"/>
          <w:b w:val="0"/>
          <w:i w:val="0"/>
          <w:sz w:val="20"/>
        </w:rPr>
        <w:t>기준월 2026-08 · 규칙 v1 · 출처 Census BPS·SOC</w:t>
      </w:r>
    </w:p>
    <w:p>
      <w:r>
        <w:rPr>
          <w:rFonts w:ascii="Noto Sans KR" w:hAnsi="Noto Sans KR" w:eastAsia="Noto Sans KR"/>
          <w:b w:val="0"/>
          <w:i w:val="0"/>
          <w:sz w:val="20"/>
        </w:rPr>
        <w:t>준공 예상은 SOC 지역 평균 lag(20+유닛) 적용 추정치 — 미착공·취소 미반영. 판정 제외는 3년 평균 1,000유닛/년 미만 또는 데이터 없음.</w:t>
      </w:r>
    </w:p>
    <w:p/>
    <w:p>
      <w:pPr>
        <w:pBdr>
          <w:bottom w:val="single" w:sz="4" w:space="1" w:color="2E75B6"/>
        </w:pBdr>
      </w:pPr>
      <w:r>
        <w:rPr>
          <w:rFonts w:ascii="Noto Sans KR" w:hAnsi="Noto Sans KR" w:eastAsia="Noto Sans KR"/>
          <w:b/>
          <w:i w:val="0"/>
          <w:color w:val="2E75B6"/>
          <w:sz w:val="26"/>
        </w:rPr>
        <w:t>4. 시사점</w:t>
      </w:r>
    </w:p>
    <w:p>
      <w:pPr>
        <w:pStyle w:val="ListBullet"/>
        <w:ind w:left="360"/>
      </w:pPr>
      <w:r>
        <w:rPr>
          <w:rFonts w:ascii="Noto Sans KR" w:hAnsi="Noto Sans KR" w:eastAsia="Noto Sans KR"/>
          <w:b w:val="0"/>
          <w:i w:val="0"/>
          <w:sz w:val="20"/>
        </w:rPr>
      </w:r>
      <w:r>
        <w:rPr>
          <w:rFonts w:ascii="Noto Sans KR" w:hAnsi="Noto Sans KR" w:eastAsia="Noto Sans KR"/>
          <w:b/>
          <w:i w:val="0"/>
          <w:sz w:val="20"/>
        </w:rPr>
        <w:t>Student Housing P3 모델이 핵심 진입 경로</w:t>
      </w:r>
      <w:r>
        <w:rPr>
          <w:rFonts w:ascii="Noto Sans KR" w:hAnsi="Noto Sans KR" w:eastAsia="Noto Sans KR"/>
          <w:b w:val="0"/>
          <w:i w:val="0"/>
          <w:sz w:val="20"/>
        </w:rPr>
        <w:t>: WKU $3.5억, Clemson $1.75억, UW-Madison 1,700베드 등 대학과 민간의 장기 파트너십 구조가 활발히 체결되고 있다. 대학 측은 부지·보증을, 민간은 자본·운영을 제공하는 P3 구조는 허가 리스크와 수요 변동성을 동시에 낮출 수 있어, 우미글로벌이 GP 또는 공동 개발사로 참여할 경우 상대적으로 안정적인 현금흐름 확보가 가능하다.</w:t>
      </w:r>
    </w:p>
    <w:p>
      <w:pPr>
        <w:pStyle w:val="ListBullet"/>
        <w:ind w:left="360"/>
      </w:pPr>
      <w:r>
        <w:rPr>
          <w:rFonts w:ascii="Noto Sans KR" w:hAnsi="Noto Sans KR" w:eastAsia="Noto Sans KR"/>
          <w:b w:val="0"/>
          <w:i w:val="0"/>
          <w:sz w:val="20"/>
        </w:rPr>
      </w:r>
      <w:r>
        <w:rPr>
          <w:rFonts w:ascii="Noto Sans KR" w:hAnsi="Noto Sans KR" w:eastAsia="Noto Sans KR"/>
          <w:b/>
          <w:i w:val="0"/>
          <w:sz w:val="20"/>
        </w:rPr>
        <w:t>Student Housing 공급 과잉 시장 선별 필수</w:t>
      </w:r>
      <w:r>
        <w:rPr>
          <w:rFonts w:ascii="Noto Sans KR" w:hAnsi="Noto Sans KR" w:eastAsia="Noto Sans KR"/>
          <w:b w:val="0"/>
          <w:i w:val="0"/>
          <w:sz w:val="20"/>
        </w:rPr>
        <w:t>: 일부 대학 도시에서 공급 초과 경고가 동시에 나오고 있어, 진입 타깃 시장을 엄격히 구분할 필요가 있다. SDSU(305베드), Morehouse·Spelman Atlanta(793베드) 등 만성적 공급 부족 캠퍼스에 집중하고, 신규 공급이 급증한 중소 대학 도시는 관망이 적절하다.</w:t>
      </w:r>
    </w:p>
    <w:p>
      <w:pPr>
        <w:pStyle w:val="ListBullet"/>
        <w:ind w:left="360"/>
      </w:pPr>
      <w:r>
        <w:rPr>
          <w:rFonts w:ascii="Noto Sans KR" w:hAnsi="Noto Sans KR" w:eastAsia="Noto Sans KR"/>
          <w:b w:val="0"/>
          <w:i w:val="0"/>
          <w:sz w:val="20"/>
        </w:rPr>
      </w:r>
      <w:r>
        <w:rPr>
          <w:rFonts w:ascii="Noto Sans KR" w:hAnsi="Noto Sans KR" w:eastAsia="Noto Sans KR"/>
          <w:b/>
          <w:i w:val="0"/>
          <w:sz w:val="20"/>
        </w:rPr>
        <w:t>BTR 세그먼트는 기관 자금 유입 초기 단계</w:t>
      </w:r>
      <w:r>
        <w:rPr>
          <w:rFonts w:ascii="Noto Sans KR" w:hAnsi="Noto Sans KR" w:eastAsia="Noto Sans KR"/>
          <w:b w:val="0"/>
          <w:i w:val="0"/>
          <w:sz w:val="20"/>
        </w:rPr>
        <w:t>: 재무부의 SFR 기관 대량매입 규제는 단독주택 직매입 전략에 제동을 걸지만, 목적건설형 BTR(타운홈·가든형)은 규제 범위 밖에 있을 가능성이 높다. Lewis Apartments·Tanzanite Homes 등 NorCal BTR 사례처럼, 도심 인접 타운홈형 BTR은 공급 대안으로 기관 선호도가 높아지는 구간이다. 우미글로벌은 기존 BTR GP와 공동 개발 또는 LP 투자 구조를 우선 검토할 것을 권고한다.</w:t>
      </w:r>
    </w:p>
    <w:p>
      <w:pPr>
        <w:pStyle w:val="ListBullet"/>
        <w:ind w:left="360"/>
      </w:pPr>
      <w:r>
        <w:rPr>
          <w:rFonts w:ascii="Noto Sans KR" w:hAnsi="Noto Sans KR" w:eastAsia="Noto Sans KR"/>
          <w:b w:val="0"/>
          <w:i w:val="0"/>
          <w:sz w:val="20"/>
        </w:rPr>
      </w:r>
      <w:r>
        <w:rPr>
          <w:rFonts w:ascii="Noto Sans KR" w:hAnsi="Noto Sans KR" w:eastAsia="Noto Sans KR"/>
          <w:b/>
          <w:i w:val="0"/>
          <w:sz w:val="20"/>
        </w:rPr>
        <w:t>Distress 자산·리파이낸싱 갭이 GP 파트너십 기회</w:t>
      </w:r>
      <w:r>
        <w:rPr>
          <w:rFonts w:ascii="Noto Sans KR" w:hAnsi="Noto Sans KR" w:eastAsia="Noto Sans KR"/>
          <w:b w:val="0"/>
          <w:i w:val="0"/>
          <w:sz w:val="20"/>
        </w:rPr>
        <w:t>: 만기 도래 Multifamily 대출의 1/3이 신규 자기자본 없이 리파이낸싱 불가한 상태이며, Blackstone의 $13억 CMBS 사례처럼 디스트레스 매물이 현실화되고 있다. 우미글로벌이 미국 현지 운용사(TruAmerica, Michaels 등 규모 있는 Mid-tier GP)와 메자닌·에퀴티 공동투자 구조를 설계한다면, 현재 시장 가격 하락 구간을 저가 진입 기회로 활용할 수 있다. 다만 CMBS 연체율 상승 추세와 건설비 압력을 감안해 자산별 커버리지 분석을 선행할 것.</w:t>
      </w:r>
    </w:p>
    <w:p>
      <w:pPr>
        <w:pStyle w:val="ListBullet"/>
        <w:ind w:left="360"/>
      </w:pPr>
      <w:r>
        <w:rPr>
          <w:rFonts w:ascii="Noto Sans KR" w:hAnsi="Noto Sans KR" w:eastAsia="Noto Sans KR"/>
          <w:b w:val="0"/>
          <w:i w:val="0"/>
          <w:sz w:val="20"/>
        </w:rPr>
      </w:r>
      <w:r>
        <w:rPr>
          <w:rFonts w:ascii="Noto Sans KR" w:hAnsi="Noto Sans KR" w:eastAsia="Noto Sans KR"/>
          <w:b/>
          <w:i w:val="0"/>
          <w:sz w:val="20"/>
        </w:rPr>
        <w:t>Apollo·EQT 등 메가 딜이 시사하는 구조 변화</w:t>
      </w:r>
      <w:r>
        <w:rPr>
          <w:rFonts w:ascii="Noto Sans KR" w:hAnsi="Noto Sans KR" w:eastAsia="Noto Sans KR"/>
          <w:b w:val="0"/>
          <w:i w:val="0"/>
          <w:sz w:val="20"/>
        </w:rPr>
        <w:t>: Apollo의 $20억 UDR 포트폴리오 JV, EQT의 Stockbridge 인수는 대형 대안자산 운용사가 Multifamily 직접 운용 역량을 내재화하는 흐름을 보여준다. 향후 소형 GP들은 자본 조달력에서 열위에 처할 가능성이 크므로, 우미글로벌은 자본력 있는 글로벌 운용사와 co-GP 또는 LP 구조로 협업하되, 틈새 세그먼트(Student Housing·BTR·Affordable)에서 독자적 딜소싱 역량을 차별화 포인트로 삼아야 한다.</w:t>
      </w:r>
    </w:p>
    <w:p>
      <w:pPr>
        <w:pBdr>
          <w:bottom w:val="single" w:sz="4" w:space="1" w:color="1B3A5C"/>
        </w:pBdr>
      </w:pPr>
    </w:p>
    <w:p>
      <w:r>
        <w:rPr>
          <w:rFonts w:ascii="Noto Sans KR" w:hAnsi="Noto Sans KR" w:eastAsia="Noto Sans KR"/>
          <w:b w:val="0"/>
          <w:i w:val="0"/>
          <w:sz w:val="20"/>
        </w:rPr>
        <w:t>*본 리포트는 수집된 뉴스 기사 기반으로 작성되었으며, 투자 권유가 아닙니다.*</w:t>
      </w:r>
    </w:p>
    <w:p>
      <w:r>
        <w:rPr>
          <w:rFonts w:ascii="Noto Sans KR" w:hAnsi="Noto Sans KR" w:eastAsia="Noto Sans KR"/>
          <w:b w:val="0"/>
          <w:i w:val="0"/>
          <w:sz w:val="20"/>
        </w:rPr>
        <w:t>*작성: 우미글로벌 해외사업팀 리서치 애널리스트 | 배포: 내부 한정*</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sz w:val="18"/>
      </w:rPr>
      <w:fldChar w:fldCharType="begin"/>
      <w:instrText>PAGE</w:instrText>
      <w:fldChar w:fldCharType="separate"/>
      <w:fldChar w:fldCharType="end"/>
    </w:r>
    <w:r>
      <w:tab/>
      <w:tab/>
    </w:r>
    <w:r>
      <w:rPr>
        <w:rFonts w:ascii="Noto Sans KR" w:hAnsi="Noto Sans KR" w:eastAsia="Noto Sans KR"/>
        <w:b w:val="0"/>
        <w:i w:val="0"/>
        <w:color w:val="999999"/>
        <w:sz w:val="18"/>
      </w:rPr>
      <w:t>2026년 10월</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1" w:color="1B3A5C"/>
      </w:pBdr>
    </w:pPr>
    <w:r>
      <w:rPr>
        <w:rFonts w:ascii="Noto Sans KR" w:hAnsi="Noto Sans KR" w:eastAsia="Noto Sans KR"/>
        <w:b w:val="0"/>
        <w:i w:val="0"/>
        <w:color w:val="999999"/>
        <w:sz w:val="20"/>
      </w:rPr>
      <w:t>우미글로벌 해외사업팀 | 대외비</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