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Noto Sans KR" w:hAnsi="Noto Sans KR" w:eastAsia="Noto Sans KR"/>
          <w:b/>
          <w:i w:val="0"/>
          <w:color w:val="1B3A5C"/>
          <w:sz w:val="32"/>
        </w:rPr>
        <w:t>우미글로벌 해외사업팀</w:t>
      </w:r>
    </w:p>
    <w:p/>
    <w:p>
      <w:pPr>
        <w:jc w:val="center"/>
      </w:pPr>
      <w:r>
        <w:rPr>
          <w:rFonts w:ascii="Noto Sans KR" w:hAnsi="Noto Sans KR" w:eastAsia="Noto Sans KR"/>
          <w:b/>
          <w:i w:val="0"/>
          <w:sz w:val="40"/>
        </w:rPr>
        <w:t>미국 주거시장 주간 인텔리전스 리포트</w:t>
      </w:r>
    </w:p>
    <w:p/>
    <w:p>
      <w:pPr>
        <w:jc w:val="center"/>
      </w:pPr>
      <w:r>
        <w:rPr>
          <w:rFonts w:ascii="Noto Sans KR" w:hAnsi="Noto Sans KR" w:eastAsia="Noto Sans KR"/>
          <w:b w:val="0"/>
          <w:i w:val="0"/>
          <w:color w:val="999999"/>
          <w:sz w:val="20"/>
        </w:rPr>
        <w:t>기간: 2026-08-02 ~ 2026-08-09</w:t>
      </w:r>
    </w:p>
    <w:p/>
    <w:p>
      <w:pPr>
        <w:jc w:val="center"/>
      </w:pPr>
      <w:r>
        <w:rPr>
          <w:rFonts w:ascii="Noto Sans KR" w:hAnsi="Noto Sans KR" w:eastAsia="Noto Sans KR"/>
          <w:b w:val="0"/>
          <w:i w:val="0"/>
          <w:color w:val="999999"/>
          <w:sz w:val="20"/>
        </w:rPr>
        <w:t>작성일: 2026년 08월 09일  |  해외사업팀</w:t>
      </w:r>
    </w:p>
    <w:p>
      <w:r>
        <w:br w:type="page"/>
      </w:r>
    </w:p>
    <w:p>
      <w:pPr>
        <w:pBdr>
          <w:bottom w:val="single" w:sz="4" w:space="1" w:color="1B3A5C"/>
        </w:pBdr>
      </w:pPr>
      <w:r>
        <w:rPr>
          <w:rFonts w:ascii="Noto Sans KR" w:hAnsi="Noto Sans KR" w:eastAsia="Noto Sans KR"/>
          <w:b/>
          <w:i w:val="0"/>
          <w:color w:val="1B3A5C"/>
          <w:sz w:val="28"/>
        </w:rPr>
        <w:t>미국 주거시장 주간 인텔리전스 리포트</w:t>
      </w:r>
    </w:p>
    <w:p>
      <w:r>
        <w:rPr>
          <w:rFonts w:ascii="Noto Sans KR" w:hAnsi="Noto Sans KR" w:eastAsia="Noto Sans KR"/>
          <w:b w:val="0"/>
          <w:i w:val="0"/>
          <w:sz w:val="20"/>
        </w:rPr>
      </w:r>
      <w:r>
        <w:rPr>
          <w:rFonts w:ascii="Noto Sans KR" w:hAnsi="Noto Sans KR" w:eastAsia="Noto Sans KR"/>
          <w:b/>
          <w:i w:val="0"/>
          <w:sz w:val="20"/>
        </w:rPr>
        <w:t>분석기간</w:t>
      </w:r>
      <w:r>
        <w:rPr>
          <w:rFonts w:ascii="Noto Sans KR" w:hAnsi="Noto Sans KR" w:eastAsia="Noto Sans KR"/>
          <w:b w:val="0"/>
          <w:i w:val="0"/>
          <w:sz w:val="20"/>
        </w:rPr>
        <w:t>: 2026년 8월 2일 ~ 8월 9일 (441건)</w:t>
      </w:r>
    </w:p>
    <w:p/>
    <w:p>
      <w:pPr>
        <w:pBdr>
          <w:bottom w:val="single" w:sz="4" w:space="1" w:color="2E75B6"/>
        </w:pBdr>
      </w:pPr>
      <w:r>
        <w:rPr>
          <w:rFonts w:ascii="Noto Sans KR" w:hAnsi="Noto Sans KR" w:eastAsia="Noto Sans KR"/>
          <w:b/>
          <w:i w:val="0"/>
          <w:color w:val="2E75B6"/>
          <w:sz w:val="26"/>
        </w:rPr>
        <w:t>2. 정책·이슈</w:t>
      </w:r>
    </w:p>
    <w:p>
      <w:pPr>
        <w:pStyle w:val="ListBullet"/>
        <w:ind w:left="360"/>
      </w:pPr>
      <w:r>
        <w:rPr>
          <w:rFonts w:ascii="Noto Sans KR" w:hAnsi="Noto Sans KR" w:eastAsia="Noto Sans KR"/>
          <w:b w:val="0"/>
          <w:i w:val="0"/>
          <w:sz w:val="20"/>
        </w:rPr>
      </w:r>
      <w:r>
        <w:rPr>
          <w:rFonts w:ascii="Noto Sans KR" w:hAnsi="Noto Sans KR" w:eastAsia="Noto Sans KR"/>
          <w:b/>
          <w:i w:val="0"/>
          <w:sz w:val="20"/>
        </w:rPr>
        <w:t>JPMorgan $750B American Dream Initiative 발표</w:t>
      </w:r>
      <w:r>
        <w:rPr>
          <w:rFonts w:ascii="Noto Sans KR" w:hAnsi="Noto Sans KR" w:eastAsia="Noto Sans KR"/>
          <w:b w:val="0"/>
          <w:i w:val="0"/>
          <w:sz w:val="20"/>
        </w:rPr>
        <w:t>: 2035년까지 주택공급 확대 및 자가주택 소유권 지원 목적으로 $750B 투입 계획 공표. 100만 호 affordable housing 건설·보존 금융 포함, 정책금융과 민간자본 결합 모델 본격화 신호탄.</w:t>
      </w:r>
    </w:p>
    <w:p>
      <w:pPr>
        <w:pStyle w:val="ListBullet"/>
        <w:ind w:left="360"/>
      </w:pPr>
      <w:r>
        <w:rPr>
          <w:rFonts w:ascii="Noto Sans KR" w:hAnsi="Noto Sans KR" w:eastAsia="Noto Sans KR"/>
          <w:b w:val="0"/>
          <w:i w:val="0"/>
          <w:sz w:val="20"/>
        </w:rPr>
      </w:r>
      <w:r>
        <w:rPr>
          <w:rFonts w:ascii="Noto Sans KR" w:hAnsi="Noto Sans KR" w:eastAsia="Noto Sans KR"/>
          <w:b/>
          <w:i w:val="0"/>
          <w:sz w:val="20"/>
        </w:rPr>
        <w:t>알고리즘 렌트 프라이싱 소송 확산</w:t>
      </w:r>
      <w:r>
        <w:rPr>
          <w:rFonts w:ascii="Noto Sans KR" w:hAnsi="Noto Sans KR" w:eastAsia="Noto Sans KR"/>
          <w:b w:val="0"/>
          <w:i w:val="0"/>
          <w:sz w:val="20"/>
        </w:rPr>
        <w:t>: RealPage, Yardi 등 렌트 설정 소프트웨어 제공업체와 다수 임대인이 불법 담합 혐의로 집단소송 대상. UDR이 San Diego에서 신규 제소되며 업계 전반 법적 리스크 증대, 렌트 인상 전략 재검토 불가피.</w:t>
      </w:r>
    </w:p>
    <w:p>
      <w:pPr>
        <w:pStyle w:val="ListBullet"/>
        <w:ind w:left="360"/>
      </w:pPr>
      <w:r>
        <w:rPr>
          <w:rFonts w:ascii="Noto Sans KR" w:hAnsi="Noto Sans KR" w:eastAsia="Noto Sans KR"/>
          <w:b w:val="0"/>
          <w:i w:val="0"/>
          <w:sz w:val="20"/>
        </w:rPr>
      </w:r>
      <w:r>
        <w:rPr>
          <w:rFonts w:ascii="Noto Sans KR" w:hAnsi="Noto Sans KR" w:eastAsia="Noto Sans KR"/>
          <w:b/>
          <w:i w:val="0"/>
          <w:sz w:val="20"/>
        </w:rPr>
        <w:t>California 인허가 지연 및 Attorney General 개입</w:t>
      </w:r>
      <w:r>
        <w:rPr>
          <w:rFonts w:ascii="Noto Sans KR" w:hAnsi="Noto Sans KR" w:eastAsia="Noto Sans KR"/>
          <w:b w:val="0"/>
          <w:i w:val="0"/>
          <w:sz w:val="20"/>
        </w:rPr>
        <w:t>: Menlo Park 80 Willow Road 프로젝트에 California Attorney General이 2년 이상 지연된 인허가 프로세스 개입. 고밀도 개발에 대한 지자체 저항과 주정부 압력 간 긴장 고조.</w:t>
      </w:r>
    </w:p>
    <w:p>
      <w:pPr>
        <w:pStyle w:val="ListBullet"/>
        <w:ind w:left="360"/>
      </w:pPr>
      <w:r>
        <w:rPr>
          <w:rFonts w:ascii="Noto Sans KR" w:hAnsi="Noto Sans KR" w:eastAsia="Noto Sans KR"/>
          <w:b w:val="0"/>
          <w:i w:val="0"/>
          <w:sz w:val="20"/>
        </w:rPr>
      </w:r>
      <w:r>
        <w:rPr>
          <w:rFonts w:ascii="Noto Sans KR" w:hAnsi="Noto Sans KR" w:eastAsia="Noto Sans KR"/>
          <w:b/>
          <w:i w:val="0"/>
          <w:sz w:val="20"/>
        </w:rPr>
        <w:t>NYC 렌트 규제 강화 리스크</w:t>
      </w:r>
      <w:r>
        <w:rPr>
          <w:rFonts w:ascii="Noto Sans KR" w:hAnsi="Noto Sans KR" w:eastAsia="Noto Sans KR"/>
          <w:b w:val="0"/>
          <w:i w:val="0"/>
          <w:sz w:val="20"/>
        </w:rPr>
        <w:t>: $506M CMBS 대출 담보인 3,500유닛 NYC rent-stabilized 포트폴리오가 rent freeze로 $80M 손실 위험 직면. 규제 강화 시 투자 수익성 급락 가능성 경고.</w:t>
      </w:r>
    </w:p>
    <w:p>
      <w:pPr>
        <w:pStyle w:val="ListBullet"/>
        <w:ind w:left="360"/>
      </w:pPr>
      <w:r>
        <w:rPr>
          <w:rFonts w:ascii="Noto Sans KR" w:hAnsi="Noto Sans KR" w:eastAsia="Noto Sans KR"/>
          <w:b w:val="0"/>
          <w:i w:val="0"/>
          <w:sz w:val="20"/>
        </w:rPr>
      </w:r>
      <w:r>
        <w:rPr>
          <w:rFonts w:ascii="Noto Sans KR" w:hAnsi="Noto Sans KR" w:eastAsia="Noto Sans KR"/>
          <w:b/>
          <w:i w:val="0"/>
          <w:sz w:val="20"/>
        </w:rPr>
        <w:t>Fannie Mae Student Housing 대출 확대</w:t>
      </w:r>
      <w:r>
        <w:rPr>
          <w:rFonts w:ascii="Noto Sans KR" w:hAnsi="Noto Sans KR" w:eastAsia="Noto Sans KR"/>
          <w:b w:val="0"/>
          <w:i w:val="0"/>
          <w:sz w:val="20"/>
        </w:rPr>
        <w:t>: Scion Group이 14개 자산, 10,454베드 포트폴리오에 대해 $556M Fannie Mae 대출 확보. 정책금융기관의 Student Housing 섹터 지원 강화로 유동성 개선 신호.</w:t>
      </w:r>
    </w:p>
    <w:p/>
    <w:p>
      <w:pPr>
        <w:pBdr>
          <w:bottom w:val="single" w:sz="4" w:space="1" w:color="2E75B6"/>
        </w:pBdr>
      </w:pPr>
      <w:r>
        <w:rPr>
          <w:rFonts w:ascii="Noto Sans KR" w:hAnsi="Noto Sans KR" w:eastAsia="Noto Sans KR"/>
          <w:b/>
          <w:i w:val="0"/>
          <w:color w:val="2E75B6"/>
          <w:sz w:val="26"/>
        </w:rPr>
        <w:t>3. 거래현황</w:t>
      </w:r>
    </w:p>
    <w:p>
      <w:pPr>
        <w:pStyle w:val="ListBullet"/>
        <w:ind w:left="360"/>
      </w:pPr>
      <w:r>
        <w:rPr>
          <w:rFonts w:ascii="Noto Sans KR" w:hAnsi="Noto Sans KR" w:eastAsia="Noto Sans KR"/>
          <w:b w:val="0"/>
          <w:i w:val="0"/>
          <w:sz w:val="20"/>
        </w:rPr>
      </w:r>
      <w:r>
        <w:rPr>
          <w:rFonts w:ascii="Noto Sans KR" w:hAnsi="Noto Sans KR" w:eastAsia="Noto Sans KR"/>
          <w:b/>
          <w:i w:val="0"/>
          <w:sz w:val="20"/>
        </w:rPr>
        <w:t>대규모 포트폴리오 거래 급증</w:t>
      </w:r>
      <w:r>
        <w:rPr>
          <w:rFonts w:ascii="Noto Sans KR" w:hAnsi="Noto Sans KR" w:eastAsia="Noto Sans KR"/>
          <w:b w:val="0"/>
          <w:i w:val="0"/>
          <w:sz w:val="20"/>
        </w:rPr>
        <w:t>: BlackRock이 Southern California에서 3,600유닛 이상을 $1.63B에 인수하며 2024년 이후 최대 미국 Multifamily 거래 기록. Camden은 California 포트폴리오 매각 후 Sun Belt 확장 전략 공고화, Bell Partners는 San Francisco와 Boston에서 약 400유닛 동시 인수.</w:t>
      </w:r>
    </w:p>
    <w:p>
      <w:pPr>
        <w:pStyle w:val="ListBullet"/>
        <w:ind w:left="360"/>
      </w:pPr>
      <w:r>
        <w:rPr>
          <w:rFonts w:ascii="Noto Sans KR" w:hAnsi="Noto Sans KR" w:eastAsia="Noto Sans KR"/>
          <w:b w:val="0"/>
          <w:i w:val="0"/>
          <w:sz w:val="20"/>
        </w:rPr>
      </w:r>
      <w:r>
        <w:rPr>
          <w:rFonts w:ascii="Noto Sans KR" w:hAnsi="Noto Sans KR" w:eastAsia="Noto Sans KR"/>
          <w:b/>
          <w:i w:val="0"/>
          <w:sz w:val="20"/>
        </w:rPr>
        <w:t>Student Housing 기관투자 활발</w:t>
      </w:r>
      <w:r>
        <w:rPr>
          <w:rFonts w:ascii="Noto Sans KR" w:hAnsi="Noto Sans KR" w:eastAsia="Noto Sans KR"/>
          <w:b w:val="0"/>
          <w:i w:val="0"/>
          <w:sz w:val="20"/>
        </w:rPr>
        <w:t>: Hawkins Way Capital JV가 East Village 학생주거 자산 $28M에 인수, Landmark Properties는 Peninsula Investments와 JV로 South Carolina 826베드 프로젝트 준공. Affordable와 함께 Student Housing이 안정적 수익 섹터로 재부상.</w:t>
      </w:r>
    </w:p>
    <w:p>
      <w:pPr>
        <w:pStyle w:val="ListBullet"/>
        <w:ind w:left="360"/>
      </w:pPr>
      <w:r>
        <w:rPr>
          <w:rFonts w:ascii="Noto Sans KR" w:hAnsi="Noto Sans KR" w:eastAsia="Noto Sans KR"/>
          <w:b w:val="0"/>
          <w:i w:val="0"/>
          <w:sz w:val="20"/>
        </w:rPr>
      </w:r>
      <w:r>
        <w:rPr>
          <w:rFonts w:ascii="Noto Sans KR" w:hAnsi="Noto Sans KR" w:eastAsia="Noto Sans KR"/>
          <w:b/>
          <w:i w:val="0"/>
          <w:sz w:val="20"/>
        </w:rPr>
        <w:t>리파이낸싱 시장 회복세</w:t>
      </w:r>
      <w:r>
        <w:rPr>
          <w:rFonts w:ascii="Noto Sans KR" w:hAnsi="Noto Sans KR" w:eastAsia="Noto Sans KR"/>
          <w:b w:val="0"/>
          <w:i w:val="0"/>
          <w:sz w:val="20"/>
        </w:rPr>
        <w:t>: Brook Farm Group이 Georgia 388유닛에 $73M 리파이낸싱, Richman Group은 Florida 3개 고급 커뮤니티에 $225M 영구금융 확보, Walker &amp; Dunlop은 Brooklyn 12 Halsey에 $137.5M 리파이낸싱 주선. 금리 안정화 기대감 속 재융자 활성화.</w:t>
      </w:r>
    </w:p>
    <w:p>
      <w:pPr>
        <w:pStyle w:val="ListBullet"/>
        <w:ind w:left="360"/>
      </w:pPr>
      <w:r>
        <w:rPr>
          <w:rFonts w:ascii="Noto Sans KR" w:hAnsi="Noto Sans KR" w:eastAsia="Noto Sans KR"/>
          <w:b w:val="0"/>
          <w:i w:val="0"/>
          <w:sz w:val="20"/>
        </w:rPr>
      </w:r>
      <w:r>
        <w:rPr>
          <w:rFonts w:ascii="Noto Sans KR" w:hAnsi="Noto Sans KR" w:eastAsia="Noto Sans KR"/>
          <w:b/>
          <w:i w:val="0"/>
          <w:sz w:val="20"/>
        </w:rPr>
        <w:t>BTR 전문 자본 유입</w:t>
      </w:r>
      <w:r>
        <w:rPr>
          <w:rFonts w:ascii="Noto Sans KR" w:hAnsi="Noto Sans KR" w:eastAsia="Noto Sans KR"/>
          <w:b w:val="0"/>
          <w:i w:val="0"/>
          <w:sz w:val="20"/>
        </w:rPr>
        <w:t>: Ultimate Equity가 Hollywood, FL 69유닛 타운홈 커뮤니티 $32M 인수, PCCP-Integrity JV는 전국 단위 BTR 프로그램 론칭. 기관투자자들이 BTR을 독립 자산군으로 인식하며 전용 자본 배분 확대.</w:t>
      </w:r>
    </w:p>
    <w:p>
      <w:pPr>
        <w:pStyle w:val="ListBullet"/>
        <w:ind w:left="360"/>
      </w:pPr>
      <w:r>
        <w:rPr>
          <w:rFonts w:ascii="Noto Sans KR" w:hAnsi="Noto Sans KR" w:eastAsia="Noto Sans KR"/>
          <w:b w:val="0"/>
          <w:i w:val="0"/>
          <w:sz w:val="20"/>
        </w:rPr>
      </w:r>
      <w:r>
        <w:rPr>
          <w:rFonts w:ascii="Noto Sans KR" w:hAnsi="Noto Sans KR" w:eastAsia="Noto Sans KR"/>
          <w:b/>
          <w:i w:val="0"/>
          <w:sz w:val="20"/>
        </w:rPr>
        <w:t>Affordable Housing 블렌디드 파이낸스 확대</w:t>
      </w:r>
      <w:r>
        <w:rPr>
          <w:rFonts w:ascii="Noto Sans KR" w:hAnsi="Noto Sans KR" w:eastAsia="Noto Sans KR"/>
          <w:b w:val="0"/>
          <w:i w:val="0"/>
          <w:sz w:val="20"/>
        </w:rPr>
        <w:t>: Apollo가 Starwood REIT에 $1B 투입하며 Affordable Housing 비중 확대 지원, Atlanta Beltline 프로젝트는 정책금융-민간자본-토지신탁 결합 구조. 수익성-사회적 임팩트 동시 추구 모델 확산.</w:t>
      </w:r>
    </w:p>
    <w:p/>
    <w:p>
      <w:pPr>
        <w:pBdr>
          <w:bottom w:val="single" w:sz="4" w:space="1" w:color="2E75B6"/>
        </w:pBdr>
      </w:pPr>
      <w:r>
        <w:rPr>
          <w:rFonts w:ascii="Noto Sans KR" w:hAnsi="Noto Sans KR" w:eastAsia="Noto Sans KR"/>
          <w:b/>
          <w:i w:val="0"/>
          <w:color w:val="2E75B6"/>
          <w:sz w:val="26"/>
        </w:rPr>
        <w:t>4. 시사점</w:t>
      </w:r>
    </w:p>
    <w:p>
      <w:pPr>
        <w:pStyle w:val="ListBullet"/>
        <w:ind w:left="360"/>
      </w:pPr>
      <w:r>
        <w:rPr>
          <w:rFonts w:ascii="Noto Sans KR" w:hAnsi="Noto Sans KR" w:eastAsia="Noto Sans KR"/>
          <w:b w:val="0"/>
          <w:i w:val="0"/>
          <w:sz w:val="20"/>
        </w:rPr>
      </w:r>
      <w:r>
        <w:rPr>
          <w:rFonts w:ascii="Noto Sans KR" w:hAnsi="Noto Sans KR" w:eastAsia="Noto Sans KR"/>
          <w:b/>
          <w:i w:val="0"/>
          <w:sz w:val="20"/>
        </w:rPr>
        <w:t>BTR 시장 진입 최적 타이밍</w:t>
      </w:r>
      <w:r>
        <w:rPr>
          <w:rFonts w:ascii="Noto Sans KR" w:hAnsi="Noto Sans KR" w:eastAsia="Noto Sans KR"/>
          <w:b w:val="0"/>
          <w:i w:val="0"/>
          <w:sz w:val="20"/>
        </w:rPr>
        <w:t>: PCCP-Integrity 프로그램형 JV 결성, NexMetro의 연속 개발 성공 사례는 BTR 시장의 성숙도와 기관투자 수용성이 임계점 돌파했음을 시사. 우미글로벌은 Sun Belt 2차 도시(Tampa, Charlotte, Phoenix 등)에서 현지 개발사와 JV 구조로 진입 검토 필요. 100~200유닛 규모, off-market 부지 확보 시 선제적 경쟁우위 확보 가능.</w:t>
      </w:r>
    </w:p>
    <w:p>
      <w:pPr>
        <w:pStyle w:val="ListBullet"/>
        <w:ind w:left="360"/>
      </w:pPr>
      <w:r>
        <w:rPr>
          <w:rFonts w:ascii="Noto Sans KR" w:hAnsi="Noto Sans KR" w:eastAsia="Noto Sans KR"/>
          <w:b w:val="0"/>
          <w:i w:val="0"/>
          <w:sz w:val="20"/>
        </w:rPr>
      </w:r>
      <w:r>
        <w:rPr>
          <w:rFonts w:ascii="Noto Sans KR" w:hAnsi="Noto Sans KR" w:eastAsia="Noto Sans KR"/>
          <w:b/>
          <w:i w:val="0"/>
          <w:sz w:val="20"/>
        </w:rPr>
        <w:t>Student Housing 안정성 재평가 필요</w:t>
      </w:r>
      <w:r>
        <w:rPr>
          <w:rFonts w:ascii="Noto Sans KR" w:hAnsi="Noto Sans KR" w:eastAsia="Noto Sans KR"/>
          <w:b w:val="0"/>
          <w:i w:val="0"/>
          <w:sz w:val="20"/>
        </w:rPr>
        <w:t>: Fannie Mae의 $556M 대규모 포트폴리오 금융, 대학 직영 기숙사 적극 증설은 팬데믹 이후 오프라인 교육 회귀 확실성을 반영. Landmark-Peninsula 협업 모델처럼 지역 개발사와 파트너십으로 대학 인근 1,000베드 이상 프로젝트 공동개발 전략 유효. Georgia, South Carolina 등 인구유입 강한 주립대 시장 우선 검토 권고.</w:t>
      </w:r>
    </w:p>
    <w:p>
      <w:pPr>
        <w:pStyle w:val="ListBullet"/>
        <w:ind w:left="360"/>
      </w:pPr>
      <w:r>
        <w:rPr>
          <w:rFonts w:ascii="Noto Sans KR" w:hAnsi="Noto Sans KR" w:eastAsia="Noto Sans KR"/>
          <w:b w:val="0"/>
          <w:i w:val="0"/>
          <w:sz w:val="20"/>
        </w:rPr>
      </w:r>
      <w:r>
        <w:rPr>
          <w:rFonts w:ascii="Noto Sans KR" w:hAnsi="Noto Sans KR" w:eastAsia="Noto Sans KR"/>
          <w:b/>
          <w:i w:val="0"/>
          <w:sz w:val="20"/>
        </w:rPr>
        <w:t>Affordable Housing 정책금융 레버리지 전략</w:t>
      </w:r>
      <w:r>
        <w:rPr>
          <w:rFonts w:ascii="Noto Sans KR" w:hAnsi="Noto Sans KR" w:eastAsia="Noto Sans KR"/>
          <w:b w:val="0"/>
          <w:i w:val="0"/>
          <w:sz w:val="20"/>
        </w:rPr>
        <w:t>: JPMorgan $750B 이니셔티브, Apollo-Starwood 딜은 Affordable 섹터가 정책지원 + 기관자본 결합으로 수익성 개선 국면 진입 신호. Tax credit, HUD 보증, 블렌디드 파이낸스 구조 활용 시 초기 equity 부담 경감 가능. 우미는 Atlanta, Raleigh 등 지자체 협력 프로그램 참여로 mixed-income 프로젝트(시장가 70% + affordable 30%) 검토 시 정책 리스크 헷지 가능.</w:t>
      </w:r>
    </w:p>
    <w:p>
      <w:pPr>
        <w:pStyle w:val="ListBullet"/>
        <w:ind w:left="360"/>
      </w:pPr>
      <w:r>
        <w:rPr>
          <w:rFonts w:ascii="Noto Sans KR" w:hAnsi="Noto Sans KR" w:eastAsia="Noto Sans KR"/>
          <w:b w:val="0"/>
          <w:i w:val="0"/>
          <w:sz w:val="20"/>
        </w:rPr>
      </w:r>
      <w:r>
        <w:rPr>
          <w:rFonts w:ascii="Noto Sans KR" w:hAnsi="Noto Sans KR" w:eastAsia="Noto Sans KR"/>
          <w:b/>
          <w:i w:val="0"/>
          <w:sz w:val="20"/>
        </w:rPr>
        <w:t>California 진입보다 Sun Belt 집중 타당</w:t>
      </w:r>
      <w:r>
        <w:rPr>
          <w:rFonts w:ascii="Noto Sans KR" w:hAnsi="Noto Sans KR" w:eastAsia="Noto Sans KR"/>
          <w:b w:val="0"/>
          <w:i w:val="0"/>
          <w:sz w:val="20"/>
        </w:rPr>
        <w:t>: California는 인허가 지연(Menlo Park 2년+), 렌트 규제 소송, 높은 개발비로 리스크 과다. 반면 Camden, BlackRock의 Sun Belt 집중 매수는 Texas, Florida, Georgia의 구조적 우위(인구유입, 규제 완화, 공급-수요 밸런스 개선) 지속 확신 반영. 우미는 Dallas-Fort Worth, Tampa, Atlanta MSA 내 성장 서브마켓 타겟팅 전략 유지 타당.</w:t>
      </w:r>
    </w:p>
    <w:p>
      <w:pPr>
        <w:pStyle w:val="ListBullet"/>
        <w:ind w:left="360"/>
      </w:pPr>
      <w:r>
        <w:rPr>
          <w:rFonts w:ascii="Noto Sans KR" w:hAnsi="Noto Sans KR" w:eastAsia="Noto Sans KR"/>
          <w:b w:val="0"/>
          <w:i w:val="0"/>
          <w:sz w:val="20"/>
        </w:rPr>
      </w:r>
      <w:r>
        <w:rPr>
          <w:rFonts w:ascii="Noto Sans KR" w:hAnsi="Noto Sans KR" w:eastAsia="Noto Sans KR"/>
          <w:b/>
          <w:i w:val="0"/>
          <w:sz w:val="20"/>
        </w:rPr>
        <w:t>GP 파트너십 구조 다변화 기회</w:t>
      </w:r>
      <w:r>
        <w:rPr>
          <w:rFonts w:ascii="Noto Sans KR" w:hAnsi="Noto Sans KR" w:eastAsia="Noto Sans KR"/>
          <w:b w:val="0"/>
          <w:i w:val="0"/>
          <w:sz w:val="20"/>
        </w:rPr>
        <w:t>: Slate Property Group의 $1B SMA(Separately Managed Account) 조성, Brookfield $77B 2Q 자금조달은 대형 GP들이 프로젝트별 JV 넘어 프로그램형 자본 파트너십 선호 전환 시사. 우미는 단일 프로젝트 co-GP 참여보다, 중견 개발사와 3~5년 복수 프로젝트 프로그램 구조 제안 시 자본 효율성 + 파이프라인 안정성 동시 확보 가능. Walker &amp; Dunlop, Northmarq 등 중개사 네트워크 통해 off-market deal sourcing 채널 구축 필수.</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sz w:val="18"/>
      </w:rPr>
      <w:fldChar w:fldCharType="begin"/>
      <w:instrText>PAGE</w:instrText>
      <w:fldChar w:fldCharType="separate"/>
      <w:fldChar w:fldCharType="end"/>
    </w:r>
    <w:r>
      <w:tab/>
      <w:tab/>
    </w:r>
    <w:r>
      <w:rPr>
        <w:rFonts w:ascii="Noto Sans KR" w:hAnsi="Noto Sans KR" w:eastAsia="Noto Sans KR"/>
        <w:b w:val="0"/>
        <w:i w:val="0"/>
        <w:color w:val="999999"/>
        <w:sz w:val="18"/>
      </w:rPr>
      <w:t>2026년 8월</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1B3A5C"/>
      </w:pBdr>
    </w:pPr>
    <w:r>
      <w:rPr>
        <w:rFonts w:ascii="Noto Sans KR" w:hAnsi="Noto Sans KR" w:eastAsia="Noto Sans KR"/>
        <w:b w:val="0"/>
        <w:i w:val="0"/>
        <w:color w:val="999999"/>
        <w:sz w:val="20"/>
      </w:rPr>
      <w:t>우미글로벌 해외사업팀 | 대외비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