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Noto Sans KR" w:hAnsi="Noto Sans KR" w:eastAsia="Noto Sans KR"/>
          <w:b/>
          <w:i w:val="0"/>
          <w:color w:val="1B3A5C"/>
          <w:sz w:val="32"/>
        </w:rPr>
        <w:t>우미글로벌 해외사업팀</w:t>
      </w:r>
    </w:p>
    <w:p/>
    <w:p>
      <w:pPr>
        <w:jc w:val="center"/>
      </w:pPr>
      <w:r>
        <w:rPr>
          <w:rFonts w:ascii="Noto Sans KR" w:hAnsi="Noto Sans KR" w:eastAsia="Noto Sans KR"/>
          <w:b/>
          <w:i w:val="0"/>
          <w:sz w:val="40"/>
        </w:rPr>
        <w:t>미국 주거시장 분기 인텔리전스 리포트</w:t>
      </w:r>
    </w:p>
    <w:p/>
    <w:p>
      <w:pPr>
        <w:jc w:val="center"/>
      </w:pPr>
      <w:r>
        <w:rPr>
          <w:rFonts w:ascii="Noto Sans KR" w:hAnsi="Noto Sans KR" w:eastAsia="Noto Sans KR"/>
          <w:b w:val="0"/>
          <w:i w:val="0"/>
          <w:color w:val="999999"/>
          <w:sz w:val="20"/>
        </w:rPr>
        <w:t>기간: 2026-05-23 ~ 2026-08-21</w:t>
      </w:r>
    </w:p>
    <w:p/>
    <w:p>
      <w:pPr>
        <w:jc w:val="center"/>
      </w:pPr>
      <w:r>
        <w:rPr>
          <w:rFonts w:ascii="Noto Sans KR" w:hAnsi="Noto Sans KR" w:eastAsia="Noto Sans KR"/>
          <w:b w:val="0"/>
          <w:i w:val="0"/>
          <w:color w:val="999999"/>
          <w:sz w:val="20"/>
        </w:rPr>
        <w:t>작성일: 2026년 08월 21일  |  해외사업팀</w:t>
      </w:r>
    </w:p>
    <w:p>
      <w:r>
        <w:br w:type="page"/>
      </w:r>
    </w:p>
    <w:p>
      <w:pPr>
        <w:pBdr>
          <w:bottom w:val="single" w:sz="4" w:space="1" w:color="1B3A5C"/>
        </w:pBdr>
      </w:pPr>
      <w:r>
        <w:rPr>
          <w:rFonts w:ascii="Noto Sans KR" w:hAnsi="Noto Sans KR" w:eastAsia="Noto Sans KR"/>
          <w:b/>
          <w:i w:val="0"/>
          <w:color w:val="1B3A5C"/>
          <w:sz w:val="28"/>
        </w:rPr>
        <w:t>미국 주거시장 분기 인텔리전스 리포트 (2026 Q2)</w:t>
      </w:r>
    </w:p>
    <w:p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보고기간:</w:t>
      </w:r>
      <w:r>
        <w:rPr>
          <w:rFonts w:ascii="Noto Sans KR" w:hAnsi="Noto Sans KR" w:eastAsia="Noto Sans KR"/>
          <w:b w:val="0"/>
          <w:i w:val="0"/>
          <w:sz w:val="20"/>
        </w:rPr>
        <w:t xml:space="preserve"> 2026년 6월 3일 ~ 8월 16일 (12주)</w:t>
      </w:r>
    </w:p>
    <w:p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우미글로벌 해외사업팀</w:t>
      </w:r>
      <w:r>
        <w:rPr>
          <w:rFonts w:ascii="Noto Sans KR" w:hAnsi="Noto Sans KR" w:eastAsia="Noto Sans KR"/>
          <w:b w:val="0"/>
          <w:i w:val="0"/>
          <w:sz w:val="20"/>
        </w:rPr>
        <w:t xml:space="preserve"> | 2026년 8월</w:t>
      </w:r>
    </w:p>
    <w:p/>
    <w:p>
      <w:pPr>
        <w:pBdr>
          <w:bottom w:val="single" w:sz="4" w:space="1" w:color="2E75B6"/>
        </w:pBdr>
      </w:pPr>
      <w:r>
        <w:rPr>
          <w:rFonts w:ascii="Noto Sans KR" w:hAnsi="Noto Sans KR" w:eastAsia="Noto Sans KR"/>
          <w:b/>
          <w:i w:val="0"/>
          <w:color w:val="2E75B6"/>
          <w:sz w:val="26"/>
        </w:rPr>
        <w:t>2. 정책·이슈</w:t>
      </w:r>
    </w:p>
    <w:p>
      <w:r>
        <w:rPr>
          <w:rFonts w:ascii="Noto Sans KR" w:hAnsi="Noto Sans KR" w:eastAsia="Noto Sans KR"/>
          <w:b/>
          <w:i w:val="0"/>
          <w:sz w:val="20"/>
        </w:rPr>
        <w:t>연준 금리정책 불확실성 지속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  <w:t xml:space="preserve">6월 Warsh 의장 취임 후 기준금리 </w:t>
      </w:r>
      <w:r>
        <w:rPr>
          <w:rFonts w:ascii="Noto Sans KR" w:hAnsi="Noto Sans KR" w:eastAsia="Noto Sans KR"/>
          <w:b/>
          <w:i w:val="0"/>
          <w:sz w:val="20"/>
        </w:rPr>
        <w:t>3.50~3.75%</w:t>
      </w:r>
      <w:r>
        <w:rPr>
          <w:rFonts w:ascii="Noto Sans KR" w:hAnsi="Noto Sans KR" w:eastAsia="Noto Sans KR"/>
          <w:b w:val="0"/>
          <w:i w:val="0"/>
          <w:sz w:val="20"/>
        </w:rPr>
        <w:t xml:space="preserve"> 동결 지속하나, 7월 FOMC에서 3명 위원 인상 반대 투표로 내부 분열 노출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  <w:t xml:space="preserve">"매파 탈 쓴 비둘기" 논란 속 추가 인상 가능성 상존, 10년물 국채 </w:t>
      </w:r>
      <w:r>
        <w:rPr>
          <w:rFonts w:ascii="Noto Sans KR" w:hAnsi="Noto Sans KR" w:eastAsia="Noto Sans KR"/>
          <w:b/>
          <w:i w:val="0"/>
          <w:sz w:val="20"/>
        </w:rPr>
        <w:t>4.7%</w:t>
      </w:r>
      <w:r>
        <w:rPr>
          <w:rFonts w:ascii="Noto Sans KR" w:hAnsi="Noto Sans KR" w:eastAsia="Noto Sans KR"/>
          <w:b w:val="0"/>
          <w:i w:val="0"/>
          <w:sz w:val="20"/>
        </w:rPr>
        <w:t xml:space="preserve"> 수준 유지로 부동산 금융비용 고압 지속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  <w:t xml:space="preserve">CMBS 디스트레스 비율 </w:t>
      </w:r>
      <w:r>
        <w:rPr>
          <w:rFonts w:ascii="Noto Sans KR" w:hAnsi="Noto Sans KR" w:eastAsia="Noto Sans KR"/>
          <w:b/>
          <w:i w:val="0"/>
          <w:sz w:val="20"/>
        </w:rPr>
        <w:t>11.6%</w:t>
      </w:r>
      <w:r>
        <w:rPr>
          <w:rFonts w:ascii="Noto Sans KR" w:hAnsi="Noto Sans KR" w:eastAsia="Noto Sans KR"/>
          <w:b w:val="0"/>
          <w:i w:val="0"/>
          <w:sz w:val="20"/>
        </w:rPr>
        <w:t xml:space="preserve">($45.8B), FDIC 은행권 multifamily 연체율 2013년 이후 최고치 기록. </w:t>
      </w:r>
      <w:r>
        <w:rPr>
          <w:rFonts w:ascii="Noto Sans KR" w:hAnsi="Noto Sans KR" w:eastAsia="Noto Sans KR"/>
          <w:b/>
          <w:i w:val="0"/>
          <w:sz w:val="20"/>
        </w:rPr>
        <w:t>$65B 만기 도래</w:t>
      </w:r>
      <w:r>
        <w:rPr>
          <w:rFonts w:ascii="Noto Sans KR" w:hAnsi="Noto Sans KR" w:eastAsia="Noto Sans KR"/>
          <w:b w:val="0"/>
          <w:i w:val="0"/>
          <w:sz w:val="20"/>
        </w:rPr>
        <w:t xml:space="preserve"> 물량 앞두고 재융자 압박</w:t>
      </w:r>
    </w:p>
    <w:p>
      <w:r>
        <w:rPr>
          <w:rFonts w:ascii="Noto Sans KR" w:hAnsi="Noto Sans KR" w:eastAsia="Noto Sans KR"/>
          <w:b/>
          <w:i w:val="0"/>
          <w:sz w:val="20"/>
        </w:rPr>
        <w:t>21st Century ROAD to Housing Act 통과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  <w:t xml:space="preserve">초당적 지지로 법제화 완료되었으나, HUD 인력 부족으로 </w:t>
      </w:r>
      <w:r>
        <w:rPr>
          <w:rFonts w:ascii="Noto Sans KR" w:hAnsi="Noto Sans KR" w:eastAsia="Noto Sans KR"/>
          <w:b/>
          <w:i w:val="0"/>
          <w:sz w:val="20"/>
        </w:rPr>
        <w:t>실질 혜택 발현까지 수년 소요</w:t>
      </w:r>
      <w:r>
        <w:rPr>
          <w:rFonts w:ascii="Noto Sans KR" w:hAnsi="Noto Sans KR" w:eastAsia="Noto Sans KR"/>
          <w:b w:val="0"/>
          <w:i w:val="0"/>
          <w:sz w:val="20"/>
        </w:rPr>
        <w:t xml:space="preserve"> 전망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  <w:t>BTR 부문 tax credit 확대, 기관투자 진입장벽 완화 조항은 중장기 긍정적 요인</w:t>
      </w:r>
    </w:p>
    <w:p>
      <w:r>
        <w:rPr>
          <w:rFonts w:ascii="Noto Sans KR" w:hAnsi="Noto Sans KR" w:eastAsia="Noto Sans KR"/>
          <w:b/>
          <w:i w:val="0"/>
          <w:sz w:val="20"/>
        </w:rPr>
        <w:t>캘리포니아 공급 촉진 vs 규제 충돌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  <w:t>Newsom 주지사, 주택계획 미준수 5개 도시 법정 제소하며 강력한 개발 압박. $239M 갭펀딩으로 20개 프로젝트 신속 승인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  <w:t xml:space="preserve">반면 Menlo Park </w:t>
      </w:r>
      <w:r>
        <w:rPr>
          <w:rFonts w:ascii="Noto Sans KR" w:hAnsi="Noto Sans KR" w:eastAsia="Noto Sans KR"/>
          <w:b/>
          <w:i w:val="0"/>
          <w:sz w:val="20"/>
        </w:rPr>
        <w:t>2년+ 인허가 지연</w:t>
      </w:r>
      <w:r>
        <w:rPr>
          <w:rFonts w:ascii="Noto Sans KR" w:hAnsi="Noto Sans KR" w:eastAsia="Noto Sans KR"/>
          <w:b w:val="0"/>
          <w:i w:val="0"/>
          <w:sz w:val="20"/>
        </w:rPr>
        <w:t xml:space="preserve">, LA Measure ULA(mansion tax) 혼란, </w:t>
      </w:r>
      <w:r>
        <w:rPr>
          <w:rFonts w:ascii="Noto Sans KR" w:hAnsi="Noto Sans KR" w:eastAsia="Noto Sans KR"/>
          <w:b/>
          <w:i w:val="0"/>
          <w:sz w:val="20"/>
        </w:rPr>
        <w:t>Builder's Remedy</w:t>
      </w:r>
      <w:r>
        <w:rPr>
          <w:rFonts w:ascii="Noto Sans KR" w:hAnsi="Noto Sans KR" w:eastAsia="Noto Sans KR"/>
          <w:b w:val="0"/>
          <w:i w:val="0"/>
          <w:sz w:val="20"/>
        </w:rPr>
        <w:t xml:space="preserve"> 활용 프로젝트 정치 논란 지속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  <w:t>SB 330 streamlining으로 San Mateo, Sunnyvale 등에서 인허가 단축 사례 증가</w:t>
      </w:r>
    </w:p>
    <w:p>
      <w:r>
        <w:rPr>
          <w:rFonts w:ascii="Noto Sans KR" w:hAnsi="Noto Sans KR" w:eastAsia="Noto Sans KR"/>
          <w:b/>
          <w:i w:val="0"/>
          <w:sz w:val="20"/>
        </w:rPr>
        <w:t>지역별 규제 양극화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친개발</w:t>
      </w:r>
      <w:r>
        <w:rPr>
          <w:rFonts w:ascii="Noto Sans KR" w:hAnsi="Noto Sans KR" w:eastAsia="Noto Sans KR"/>
          <w:b w:val="0"/>
          <w:i w:val="0"/>
          <w:sz w:val="20"/>
        </w:rPr>
        <w:t>: 텍사스·플로리다 공급 지원, 시애틀 환경심사 개혁으로 승인 가속화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규제 강화</w:t>
      </w:r>
      <w:r>
        <w:rPr>
          <w:rFonts w:ascii="Noto Sans KR" w:hAnsi="Noto Sans KR" w:eastAsia="Noto Sans KR"/>
          <w:b w:val="0"/>
          <w:i w:val="0"/>
          <w:sz w:val="20"/>
        </w:rPr>
        <w:t xml:space="preserve">: NYC 렌트 동결(rent-stabilized 부문 </w:t>
      </w:r>
      <w:r>
        <w:rPr>
          <w:rFonts w:ascii="Noto Sans KR" w:hAnsi="Noto Sans KR" w:eastAsia="Noto Sans KR"/>
          <w:b/>
          <w:i w:val="0"/>
          <w:sz w:val="20"/>
        </w:rPr>
        <w:t>$80M 손실</w:t>
      </w:r>
      <w:r>
        <w:rPr>
          <w:rFonts w:ascii="Noto Sans KR" w:hAnsi="Noto Sans KR" w:eastAsia="Noto Sans KR"/>
          <w:b w:val="0"/>
          <w:i w:val="0"/>
          <w:sz w:val="20"/>
        </w:rPr>
        <w:t xml:space="preserve"> 리스크), 시애틀 'junk fees' 전면 금지 조례(2027.7), Maryland Montgomery County 렌트컨트롤로 신규 개발 위축</w:t>
      </w:r>
    </w:p>
    <w:p>
      <w:r>
        <w:rPr>
          <w:rFonts w:ascii="Noto Sans KR" w:hAnsi="Noto Sans KR" w:eastAsia="Noto Sans KR"/>
          <w:b/>
          <w:i w:val="0"/>
          <w:sz w:val="20"/>
        </w:rPr>
        <w:t>렌트 프라이싱 알고리즘 소송 확산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  <w:t>RealPage, Yardi 등 소프트웨어 제공사 및 다수 임대인 불법 담합 혐의로 집단소송 대상. UDR, Greystar(Section 8 거부 혐의) 등 대형 운영사 법적 리스크 증대</w:t>
      </w:r>
    </w:p>
    <w:p>
      <w:r>
        <w:rPr>
          <w:rFonts w:ascii="Noto Sans KR" w:hAnsi="Noto Sans KR" w:eastAsia="Noto Sans KR"/>
          <w:b/>
          <w:i w:val="0"/>
          <w:sz w:val="20"/>
        </w:rPr>
        <w:t>건설비 급등 재연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  <w:t xml:space="preserve">Iran 전쟁 여파로 석유 기반 자재 비용 팬데믹 수준 회귀, 5월 건설비 </w:t>
      </w:r>
      <w:r>
        <w:rPr>
          <w:rFonts w:ascii="Noto Sans KR" w:hAnsi="Noto Sans KR" w:eastAsia="Noto Sans KR"/>
          <w:b/>
          <w:i w:val="0"/>
          <w:sz w:val="20"/>
        </w:rPr>
        <w:t>연간 최고 상승률</w:t>
      </w:r>
      <w:r>
        <w:rPr>
          <w:rFonts w:ascii="Noto Sans KR" w:hAnsi="Noto Sans KR" w:eastAsia="Noto Sans KR"/>
          <w:b w:val="0"/>
          <w:i w:val="0"/>
          <w:sz w:val="20"/>
        </w:rPr>
        <w:t xml:space="preserve"> 기록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  <w:t xml:space="preserve">자재비 </w:t>
      </w:r>
      <w:r>
        <w:rPr>
          <w:rFonts w:ascii="Noto Sans KR" w:hAnsi="Noto Sans KR" w:eastAsia="Noto Sans KR"/>
          <w:b/>
          <w:i w:val="0"/>
          <w:sz w:val="20"/>
        </w:rPr>
        <w:t>7.4%</w:t>
      </w:r>
      <w:r>
        <w:rPr>
          <w:rFonts w:ascii="Noto Sans KR" w:hAnsi="Noto Sans KR" w:eastAsia="Noto Sans KR"/>
          <w:b w:val="0"/>
          <w:i w:val="0"/>
          <w:sz w:val="20"/>
        </w:rPr>
        <w:t xml:space="preserve"> 상승에도 수주 잔고 감소로 시공사 마진 압박. 관세 확대(80개국 이상)로 추가 압력 예상</w:t>
      </w:r>
    </w:p>
    <w:p/>
    <w:p>
      <w:pPr>
        <w:pBdr>
          <w:bottom w:val="single" w:sz="4" w:space="1" w:color="2E75B6"/>
        </w:pBdr>
      </w:pPr>
      <w:r>
        <w:rPr>
          <w:rFonts w:ascii="Noto Sans KR" w:hAnsi="Noto Sans KR" w:eastAsia="Noto Sans KR"/>
          <w:b/>
          <w:i w:val="0"/>
          <w:color w:val="2E75B6"/>
          <w:sz w:val="26"/>
        </w:rPr>
        <w:t>3. 거래현황</w:t>
      </w:r>
    </w:p>
    <w:p>
      <w:r>
        <w:rPr>
          <w:rFonts w:ascii="Noto Sans KR" w:hAnsi="Noto Sans KR" w:eastAsia="Noto Sans KR"/>
          <w:b/>
          <w:i w:val="0"/>
          <w:sz w:val="20"/>
        </w:rPr>
        <w:t>메가 M&amp;A 및 플랫폼 통합 가속화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AvalonBay-Equity Residential 합병 완료</w:t>
      </w:r>
      <w:r>
        <w:rPr>
          <w:rFonts w:ascii="Noto Sans KR" w:hAnsi="Noto Sans KR" w:eastAsia="Noto Sans KR"/>
          <w:b w:val="0"/>
          <w:i w:val="0"/>
          <w:sz w:val="20"/>
        </w:rPr>
        <w:t>(8월 마감 예정, $71B 규모, 98,000유닛 'Vivmark Residential' 탄생)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  <w:t>Milhaus-SRG Residential 합병 → Broadshore Capital 인수, Lincoln Property의 Spectrum Cos. 인수(7,000+유닛) 등 개발역량·자금조달력 집중 트렌드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  <w:t xml:space="preserve">Grubb Properties </w:t>
      </w:r>
      <w:r>
        <w:rPr>
          <w:rFonts w:ascii="Noto Sans KR" w:hAnsi="Noto Sans KR" w:eastAsia="Noto Sans KR"/>
          <w:b/>
          <w:i w:val="0"/>
          <w:sz w:val="20"/>
        </w:rPr>
        <w:t>$617M 리캡</w:t>
      </w:r>
      <w:r>
        <w:rPr>
          <w:rFonts w:ascii="Noto Sans KR" w:hAnsi="Noto Sans KR" w:eastAsia="Noto Sans KR"/>
          <w:b w:val="0"/>
          <w:i w:val="0"/>
          <w:sz w:val="20"/>
        </w:rPr>
        <w:t>으로 $1.9B non-traded REIT 전환</w:t>
      </w:r>
    </w:p>
    <w:p>
      <w:r>
        <w:rPr>
          <w:rFonts w:ascii="Noto Sans KR" w:hAnsi="Noto Sans KR" w:eastAsia="Noto Sans KR"/>
          <w:b/>
          <w:i w:val="0"/>
          <w:sz w:val="20"/>
        </w:rPr>
        <w:t>기관급 대형 포트폴리오 거래 활발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  <w:t xml:space="preserve">BlackRock Southern California </w:t>
      </w:r>
      <w:r>
        <w:rPr>
          <w:rFonts w:ascii="Noto Sans KR" w:hAnsi="Noto Sans KR" w:eastAsia="Noto Sans KR"/>
          <w:b/>
          <w:i w:val="0"/>
          <w:sz w:val="20"/>
        </w:rPr>
        <w:t>$1.63B/3,600+유닛</w:t>
      </w:r>
      <w:r>
        <w:rPr>
          <w:rFonts w:ascii="Noto Sans KR" w:hAnsi="Noto Sans KR" w:eastAsia="Noto Sans KR"/>
          <w:b w:val="0"/>
          <w:i w:val="0"/>
          <w:sz w:val="20"/>
        </w:rPr>
        <w:t xml:space="preserve">(2024년 이후 최대), Camden California 전체 포트폴리오 </w:t>
      </w:r>
      <w:r>
        <w:rPr>
          <w:rFonts w:ascii="Noto Sans KR" w:hAnsi="Noto Sans KR" w:eastAsia="Noto Sans KR"/>
          <w:b/>
          <w:i w:val="0"/>
          <w:sz w:val="20"/>
        </w:rPr>
        <w:t>$1.63B</w:t>
      </w:r>
      <w:r>
        <w:rPr>
          <w:rFonts w:ascii="Noto Sans KR" w:hAnsi="Noto Sans KR" w:eastAsia="Noto Sans KR"/>
          <w:b w:val="0"/>
          <w:i w:val="0"/>
          <w:sz w:val="20"/>
        </w:rPr>
        <w:t xml:space="preserve"> 매각 완료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  <w:t xml:space="preserve">Elme Communities Alexandria </w:t>
      </w:r>
      <w:r>
        <w:rPr>
          <w:rFonts w:ascii="Noto Sans KR" w:hAnsi="Noto Sans KR" w:eastAsia="Noto Sans KR"/>
          <w:b/>
          <w:i w:val="0"/>
          <w:sz w:val="20"/>
        </w:rPr>
        <w:t>$250M</w:t>
      </w:r>
      <w:r>
        <w:rPr>
          <w:rFonts w:ascii="Noto Sans KR" w:hAnsi="Noto Sans KR" w:eastAsia="Noto Sans KR"/>
          <w:b w:val="0"/>
          <w:i w:val="0"/>
          <w:sz w:val="20"/>
        </w:rPr>
        <w:t xml:space="preserve"> 매각, Greystar Virginia </w:t>
      </w:r>
      <w:r>
        <w:rPr>
          <w:rFonts w:ascii="Noto Sans KR" w:hAnsi="Noto Sans KR" w:eastAsia="Noto Sans KR"/>
          <w:b/>
          <w:i w:val="0"/>
          <w:sz w:val="20"/>
        </w:rPr>
        <w:t>$216M</w:t>
      </w:r>
      <w:r>
        <w:rPr>
          <w:rFonts w:ascii="Noto Sans KR" w:hAnsi="Noto Sans KR" w:eastAsia="Noto Sans KR"/>
          <w:b w:val="0"/>
          <w:i w:val="0"/>
          <w:sz w:val="20"/>
        </w:rPr>
        <w:t xml:space="preserve"> 매각 등 전략적 재배치 진행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  <w:t xml:space="preserve">UDR, Bell Partners의 San Francisco·Boston 동시 인수, Stonepeak Scottsdale 시니어 </w:t>
      </w:r>
      <w:r>
        <w:rPr>
          <w:rFonts w:ascii="Noto Sans KR" w:hAnsi="Noto Sans KR" w:eastAsia="Noto Sans KR"/>
          <w:b/>
          <w:i w:val="0"/>
          <w:sz w:val="20"/>
        </w:rPr>
        <w:t>$109M</w:t>
      </w:r>
      <w:r>
        <w:rPr>
          <w:rFonts w:ascii="Noto Sans KR" w:hAnsi="Noto Sans KR" w:eastAsia="Noto Sans KR"/>
          <w:b w:val="0"/>
          <w:i w:val="0"/>
          <w:sz w:val="20"/>
        </w:rPr>
        <w:t>($740K/유닛) 등 prime asset 중심 거래</w:t>
      </w:r>
    </w:p>
    <w:p>
      <w:r>
        <w:rPr>
          <w:rFonts w:ascii="Noto Sans KR" w:hAnsi="Noto Sans KR" w:eastAsia="Noto Sans KR"/>
          <w:b/>
          <w:i w:val="0"/>
          <w:sz w:val="20"/>
        </w:rPr>
        <w:t>Student Housing 기관투자 본격화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  <w:t xml:space="preserve">Scion Group </w:t>
      </w:r>
      <w:r>
        <w:rPr>
          <w:rFonts w:ascii="Noto Sans KR" w:hAnsi="Noto Sans KR" w:eastAsia="Noto Sans KR"/>
          <w:b/>
          <w:i w:val="0"/>
          <w:sz w:val="20"/>
        </w:rPr>
        <w:t>$1.5B</w:t>
      </w:r>
      <w:r>
        <w:rPr>
          <w:rFonts w:ascii="Noto Sans KR" w:hAnsi="Noto Sans KR" w:eastAsia="Noto Sans KR"/>
          <w:b w:val="0"/>
          <w:i w:val="0"/>
          <w:sz w:val="20"/>
        </w:rPr>
        <w:t xml:space="preserve"> Student Quarters 플랫폼 인수로 미국 최대 학생주거 소유주 공고화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  <w:t xml:space="preserve">Hawkins Way Capital NYC Upper West Side </w:t>
      </w:r>
      <w:r>
        <w:rPr>
          <w:rFonts w:ascii="Noto Sans KR" w:hAnsi="Noto Sans KR" w:eastAsia="Noto Sans KR"/>
          <w:b/>
          <w:i w:val="0"/>
          <w:sz w:val="20"/>
        </w:rPr>
        <w:t>$80M</w:t>
      </w:r>
      <w:r>
        <w:rPr>
          <w:rFonts w:ascii="Noto Sans KR" w:hAnsi="Noto Sans KR" w:eastAsia="Noto Sans KR"/>
          <w:b w:val="0"/>
          <w:i w:val="0"/>
          <w:sz w:val="20"/>
        </w:rPr>
        <w:t xml:space="preserve">, LaSalle Michigan State 인근 </w:t>
      </w:r>
      <w:r>
        <w:rPr>
          <w:rFonts w:ascii="Noto Sans KR" w:hAnsi="Noto Sans KR" w:eastAsia="Noto Sans KR"/>
          <w:b/>
          <w:i w:val="0"/>
          <w:sz w:val="20"/>
        </w:rPr>
        <w:t>190유닛/436베드</w:t>
      </w:r>
      <w:r>
        <w:rPr>
          <w:rFonts w:ascii="Noto Sans KR" w:hAnsi="Noto Sans KR" w:eastAsia="Noto Sans KR"/>
          <w:b w:val="0"/>
          <w:i w:val="0"/>
          <w:sz w:val="20"/>
        </w:rPr>
        <w:t xml:space="preserve"> 매입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  <w:t xml:space="preserve">Northeastern대 East Village </w:t>
      </w:r>
      <w:r>
        <w:rPr>
          <w:rFonts w:ascii="Noto Sans KR" w:hAnsi="Noto Sans KR" w:eastAsia="Noto Sans KR"/>
          <w:b/>
          <w:i w:val="0"/>
          <w:sz w:val="20"/>
        </w:rPr>
        <w:t>$169M</w:t>
      </w:r>
      <w:r>
        <w:rPr>
          <w:rFonts w:ascii="Noto Sans KR" w:hAnsi="Noto Sans KR" w:eastAsia="Noto Sans KR"/>
          <w:b w:val="0"/>
          <w:i w:val="0"/>
          <w:sz w:val="20"/>
        </w:rPr>
        <w:t xml:space="preserve"> 자가매입(11년 리스 후 취득), Columbia대 Morningside Heights </w:t>
      </w:r>
      <w:r>
        <w:rPr>
          <w:rFonts w:ascii="Noto Sans KR" w:hAnsi="Noto Sans KR" w:eastAsia="Noto Sans KR"/>
          <w:b/>
          <w:i w:val="0"/>
          <w:sz w:val="20"/>
        </w:rPr>
        <w:t>$122M</w:t>
      </w:r>
      <w:r>
        <w:rPr>
          <w:rFonts w:ascii="Noto Sans KR" w:hAnsi="Noto Sans KR" w:eastAsia="Noto Sans KR"/>
          <w:b w:val="0"/>
          <w:i w:val="0"/>
          <w:sz w:val="20"/>
        </w:rPr>
        <w:t xml:space="preserve"> 매입</w:t>
      </w:r>
    </w:p>
    <w:p>
      <w:r>
        <w:rPr>
          <w:rFonts w:ascii="Noto Sans KR" w:hAnsi="Noto Sans KR" w:eastAsia="Noto Sans KR"/>
          <w:b/>
          <w:i w:val="0"/>
          <w:sz w:val="20"/>
        </w:rPr>
        <w:t>리파이낸싱 시장 정상화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  <w:t xml:space="preserve">JLL Chicago NEMA </w:t>
      </w:r>
      <w:r>
        <w:rPr>
          <w:rFonts w:ascii="Noto Sans KR" w:hAnsi="Noto Sans KR" w:eastAsia="Noto Sans KR"/>
          <w:b/>
          <w:i w:val="0"/>
          <w:sz w:val="20"/>
        </w:rPr>
        <w:t>$332M</w:t>
      </w:r>
      <w:r>
        <w:rPr>
          <w:rFonts w:ascii="Noto Sans KR" w:hAnsi="Noto Sans KR" w:eastAsia="Noto Sans KR"/>
          <w:b w:val="0"/>
          <w:i w:val="0"/>
          <w:sz w:val="20"/>
        </w:rPr>
        <w:t xml:space="preserve">, Cushman Texas </w:t>
      </w:r>
      <w:r>
        <w:rPr>
          <w:rFonts w:ascii="Noto Sans KR" w:hAnsi="Noto Sans KR" w:eastAsia="Noto Sans KR"/>
          <w:b/>
          <w:i w:val="0"/>
          <w:sz w:val="20"/>
        </w:rPr>
        <w:t>$95.7M</w:t>
      </w:r>
      <w:r>
        <w:rPr>
          <w:rFonts w:ascii="Noto Sans KR" w:hAnsi="Noto Sans KR" w:eastAsia="Noto Sans KR"/>
          <w:b w:val="0"/>
          <w:i w:val="0"/>
          <w:sz w:val="20"/>
        </w:rPr>
        <w:t xml:space="preserve">, Richman Florida 3개 커뮤니티 </w:t>
      </w:r>
      <w:r>
        <w:rPr>
          <w:rFonts w:ascii="Noto Sans KR" w:hAnsi="Noto Sans KR" w:eastAsia="Noto Sans KR"/>
          <w:b/>
          <w:i w:val="0"/>
          <w:sz w:val="20"/>
        </w:rPr>
        <w:t>$225M</w:t>
      </w:r>
      <w:r>
        <w:rPr>
          <w:rFonts w:ascii="Noto Sans KR" w:hAnsi="Noto Sans KR" w:eastAsia="Noto Sans KR"/>
          <w:b w:val="0"/>
          <w:i w:val="0"/>
          <w:sz w:val="20"/>
        </w:rPr>
        <w:t xml:space="preserve"> 등 agency debt·상업은행 대출 재개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  <w:t xml:space="preserve">QuadReal Mississippi </w:t>
      </w:r>
      <w:r>
        <w:rPr>
          <w:rFonts w:ascii="Noto Sans KR" w:hAnsi="Noto Sans KR" w:eastAsia="Noto Sans KR"/>
          <w:b/>
          <w:i w:val="0"/>
          <w:sz w:val="20"/>
        </w:rPr>
        <w:t>$64M</w:t>
      </w:r>
      <w:r>
        <w:rPr>
          <w:rFonts w:ascii="Noto Sans KR" w:hAnsi="Noto Sans KR" w:eastAsia="Noto Sans KR"/>
          <w:b w:val="0"/>
          <w:i w:val="0"/>
          <w:sz w:val="20"/>
        </w:rPr>
        <w:t xml:space="preserve">, BWE Illinois </w:t>
      </w:r>
      <w:r>
        <w:rPr>
          <w:rFonts w:ascii="Noto Sans KR" w:hAnsi="Noto Sans KR" w:eastAsia="Noto Sans KR"/>
          <w:b/>
          <w:i w:val="0"/>
          <w:sz w:val="20"/>
        </w:rPr>
        <w:t>$133M</w:t>
      </w:r>
      <w:r>
        <w:rPr>
          <w:rFonts w:ascii="Noto Sans KR" w:hAnsi="Noto Sans KR" w:eastAsia="Noto Sans KR"/>
          <w:b w:val="0"/>
          <w:i w:val="0"/>
          <w:sz w:val="20"/>
        </w:rPr>
        <w:t xml:space="preserve">, Affinius San Diego </w:t>
      </w:r>
      <w:r>
        <w:rPr>
          <w:rFonts w:ascii="Noto Sans KR" w:hAnsi="Noto Sans KR" w:eastAsia="Noto Sans KR"/>
          <w:b/>
          <w:i w:val="0"/>
          <w:sz w:val="20"/>
        </w:rPr>
        <w:t>$120M</w:t>
      </w:r>
      <w:r>
        <w:rPr>
          <w:rFonts w:ascii="Noto Sans KR" w:hAnsi="Noto Sans KR" w:eastAsia="Noto Sans KR"/>
          <w:b w:val="0"/>
          <w:i w:val="0"/>
          <w:sz w:val="20"/>
        </w:rPr>
        <w:t xml:space="preserve"> 등 프라이빗 크레딧 시장 점유율 확대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  <w:t xml:space="preserve">Invesco Real Estate 2026 H1 대출 실행액 </w:t>
      </w:r>
      <w:r>
        <w:rPr>
          <w:rFonts w:ascii="Noto Sans KR" w:hAnsi="Noto Sans KR" w:eastAsia="Noto Sans KR"/>
          <w:b/>
          <w:i w:val="0"/>
          <w:sz w:val="20"/>
        </w:rPr>
        <w:t>112% 급증</w:t>
      </w:r>
      <w:r>
        <w:rPr>
          <w:rFonts w:ascii="Noto Sans KR" w:hAnsi="Noto Sans KR" w:eastAsia="Noto Sans KR"/>
          <w:b w:val="0"/>
          <w:i w:val="0"/>
          <w:sz w:val="20"/>
        </w:rPr>
        <w:t xml:space="preserve">($3.2B), Slate Property Group </w:t>
      </w:r>
      <w:r>
        <w:rPr>
          <w:rFonts w:ascii="Noto Sans KR" w:hAnsi="Noto Sans KR" w:eastAsia="Noto Sans KR"/>
          <w:b/>
          <w:i w:val="0"/>
          <w:sz w:val="20"/>
        </w:rPr>
        <w:t>$1B SMA</w:t>
      </w:r>
      <w:r>
        <w:rPr>
          <w:rFonts w:ascii="Noto Sans KR" w:hAnsi="Noto Sans KR" w:eastAsia="Noto Sans KR"/>
          <w:b w:val="0"/>
          <w:i w:val="0"/>
          <w:sz w:val="20"/>
        </w:rPr>
        <w:t xml:space="preserve"> 조성으로 대체금융 활성화</w:t>
      </w:r>
    </w:p>
    <w:p>
      <w:r>
        <w:rPr>
          <w:rFonts w:ascii="Noto Sans KR" w:hAnsi="Noto Sans KR" w:eastAsia="Noto Sans KR"/>
          <w:b/>
          <w:i w:val="0"/>
          <w:sz w:val="20"/>
        </w:rPr>
        <w:t>글로벌·크로스보더 자본 유입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  <w:t xml:space="preserve">영국 Border to Coast, Blackstone SFR 포트폴리오 </w:t>
      </w:r>
      <w:r>
        <w:rPr>
          <w:rFonts w:ascii="Noto Sans KR" w:hAnsi="Noto Sans KR" w:eastAsia="Noto Sans KR"/>
          <w:b/>
          <w:i w:val="0"/>
          <w:sz w:val="20"/>
        </w:rPr>
        <w:t>£450M</w:t>
      </w:r>
      <w:r>
        <w:rPr>
          <w:rFonts w:ascii="Noto Sans KR" w:hAnsi="Noto Sans KR" w:eastAsia="Noto Sans KR"/>
          <w:b w:val="0"/>
          <w:i w:val="0"/>
          <w:sz w:val="20"/>
        </w:rPr>
        <w:t xml:space="preserve"> 매입 추진. 일본 Hulic-CIM Group JV West Hollywood </w:t>
      </w:r>
      <w:r>
        <w:rPr>
          <w:rFonts w:ascii="Noto Sans KR" w:hAnsi="Noto Sans KR" w:eastAsia="Noto Sans KR"/>
          <w:b/>
          <w:i w:val="0"/>
          <w:sz w:val="20"/>
        </w:rPr>
        <w:t>166유닛</w:t>
      </w:r>
      <w:r>
        <w:rPr>
          <w:rFonts w:ascii="Noto Sans KR" w:hAnsi="Noto Sans KR" w:eastAsia="Noto Sans KR"/>
          <w:b w:val="0"/>
          <w:i w:val="0"/>
          <w:sz w:val="20"/>
        </w:rPr>
        <w:t xml:space="preserve"> 인수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  <w:t xml:space="preserve">Brookfield-SWI </w:t>
      </w:r>
      <w:r>
        <w:rPr>
          <w:rFonts w:ascii="Noto Sans KR" w:hAnsi="Noto Sans KR" w:eastAsia="Noto Sans KR"/>
          <w:b/>
          <w:i w:val="0"/>
          <w:sz w:val="20"/>
        </w:rPr>
        <w:t>$694M JV</w:t>
      </w:r>
      <w:r>
        <w:rPr>
          <w:rFonts w:ascii="Noto Sans KR" w:hAnsi="Noto Sans KR" w:eastAsia="Noto Sans KR"/>
          <w:b w:val="0"/>
          <w:i w:val="0"/>
          <w:sz w:val="20"/>
        </w:rPr>
        <w:t xml:space="preserve"> 결성, Apollo Starwood REIT </w:t>
      </w:r>
      <w:r>
        <w:rPr>
          <w:rFonts w:ascii="Noto Sans KR" w:hAnsi="Noto Sans KR" w:eastAsia="Noto Sans KR"/>
          <w:b/>
          <w:i w:val="0"/>
          <w:sz w:val="20"/>
        </w:rPr>
        <w:t>$1B</w:t>
      </w:r>
      <w:r>
        <w:rPr>
          <w:rFonts w:ascii="Noto Sans KR" w:hAnsi="Noto Sans KR" w:eastAsia="Noto Sans KR"/>
          <w:b w:val="0"/>
          <w:i w:val="0"/>
          <w:sz w:val="20"/>
        </w:rPr>
        <w:t xml:space="preserve"> 투입, 1789 Capital(트럼프 Jr. 후원)-Easton Street </w:t>
      </w:r>
      <w:r>
        <w:rPr>
          <w:rFonts w:ascii="Noto Sans KR" w:hAnsi="Noto Sans KR" w:eastAsia="Noto Sans KR"/>
          <w:b/>
          <w:i w:val="0"/>
          <w:sz w:val="20"/>
        </w:rPr>
        <w:t>$8B Sun Belt 펀드</w:t>
      </w:r>
      <w:r>
        <w:rPr>
          <w:rFonts w:ascii="Noto Sans KR" w:hAnsi="Noto Sans KR" w:eastAsia="Noto Sans KR"/>
          <w:b w:val="0"/>
          <w:i w:val="0"/>
          <w:sz w:val="20"/>
        </w:rPr>
        <w:t xml:space="preserve"> 출범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  <w:t>영국 L&amp;G, Boston Concord 첫 미국 개발(</w:t>
      </w:r>
      <w:r>
        <w:rPr>
          <w:rFonts w:ascii="Noto Sans KR" w:hAnsi="Noto Sans KR" w:eastAsia="Noto Sans KR"/>
          <w:b/>
          <w:i w:val="0"/>
          <w:sz w:val="20"/>
        </w:rPr>
        <w:t>201유닛</w:t>
      </w:r>
      <w:r>
        <w:rPr>
          <w:rFonts w:ascii="Noto Sans KR" w:hAnsi="Noto Sans KR" w:eastAsia="Noto Sans KR"/>
          <w:b w:val="0"/>
          <w:i w:val="0"/>
          <w:sz w:val="20"/>
        </w:rPr>
        <w:t>, 지역 GP Taurus와 JV)</w:t>
      </w:r>
    </w:p>
    <w:p>
      <w:r>
        <w:rPr>
          <w:rFonts w:ascii="Noto Sans KR" w:hAnsi="Noto Sans KR" w:eastAsia="Noto Sans KR"/>
          <w:b/>
          <w:i w:val="0"/>
          <w:sz w:val="20"/>
        </w:rPr>
        <w:t>디스트레스 자산 거래 증가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  <w:t xml:space="preserve">Texas·Alabama·South Carolina 등 선벨트 연체 물건 서비싱 유입, Apollo </w:t>
      </w:r>
      <w:r>
        <w:rPr>
          <w:rFonts w:ascii="Noto Sans KR" w:hAnsi="Noto Sans KR" w:eastAsia="Noto Sans KR"/>
          <w:b/>
          <w:i w:val="0"/>
          <w:sz w:val="20"/>
        </w:rPr>
        <w:t>$9B 모기지 REIT</w:t>
      </w:r>
      <w:r>
        <w:rPr>
          <w:rFonts w:ascii="Noto Sans KR" w:hAnsi="Noto Sans KR" w:eastAsia="Noto Sans KR"/>
          <w:b w:val="0"/>
          <w:i w:val="0"/>
          <w:sz w:val="20"/>
        </w:rPr>
        <w:t xml:space="preserve"> 청산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  <w:t xml:space="preserve">CONAM 라스베이거스 </w:t>
      </w:r>
      <w:r>
        <w:rPr>
          <w:rFonts w:ascii="Noto Sans KR" w:hAnsi="Noto Sans KR" w:eastAsia="Noto Sans KR"/>
          <w:b/>
          <w:i w:val="0"/>
          <w:sz w:val="20"/>
        </w:rPr>
        <w:t>$29M 할인 매입</w:t>
      </w:r>
      <w:r>
        <w:rPr>
          <w:rFonts w:ascii="Noto Sans KR" w:hAnsi="Noto Sans KR" w:eastAsia="Noto Sans KR"/>
          <w:b w:val="0"/>
          <w:i w:val="0"/>
          <w:sz w:val="20"/>
        </w:rPr>
        <w:t xml:space="preserve">, Strategic Value Partners Texas </w:t>
      </w:r>
      <w:r>
        <w:rPr>
          <w:rFonts w:ascii="Noto Sans KR" w:hAnsi="Noto Sans KR" w:eastAsia="Noto Sans KR"/>
          <w:b/>
          <w:i w:val="0"/>
          <w:sz w:val="20"/>
        </w:rPr>
        <w:t>895유닛</w:t>
      </w:r>
      <w:r>
        <w:rPr>
          <w:rFonts w:ascii="Noto Sans KR" w:hAnsi="Noto Sans KR" w:eastAsia="Noto Sans KR"/>
          <w:b w:val="0"/>
          <w:i w:val="0"/>
          <w:sz w:val="20"/>
        </w:rPr>
        <w:t xml:space="preserve"> 인수 등 밸류애드 기회 확대</w:t>
      </w:r>
    </w:p>
    <w:p/>
    <w:p>
      <w:pPr>
        <w:pBdr>
          <w:bottom w:val="single" w:sz="4" w:space="1" w:color="2E75B6"/>
        </w:pBdr>
      </w:pPr>
      <w:r>
        <w:rPr>
          <w:rFonts w:ascii="Noto Sans KR" w:hAnsi="Noto Sans KR" w:eastAsia="Noto Sans KR"/>
          <w:b/>
          <w:i w:val="0"/>
          <w:color w:val="2E75B6"/>
          <w:sz w:val="26"/>
        </w:rPr>
        <w:t>4. 시사점</w:t>
      </w:r>
    </w:p>
    <w:p>
      <w:r>
        <w:rPr>
          <w:rFonts w:ascii="Noto Sans KR" w:hAnsi="Noto Sans KR" w:eastAsia="Noto Sans KR"/>
          <w:b/>
          <w:i w:val="0"/>
          <w:sz w:val="20"/>
        </w:rPr>
        <w:t>Student Housing 전략적 진입 타이밍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대학 P3 모델 주목</w:t>
      </w:r>
      <w:r>
        <w:rPr>
          <w:rFonts w:ascii="Noto Sans KR" w:hAnsi="Noto Sans KR" w:eastAsia="Noto Sans KR"/>
          <w:b w:val="0"/>
          <w:i w:val="0"/>
          <w:sz w:val="20"/>
        </w:rPr>
        <w:t xml:space="preserve">: WKU $350M, FSU $301M 등 대학 직접 파트너십은 장기 안정 cashflow 제공. 한국 대학 기숙사 PPP 경험 활용해 미국 </w:t>
      </w:r>
      <w:r>
        <w:rPr>
          <w:rFonts w:ascii="Noto Sans KR" w:hAnsi="Noto Sans KR" w:eastAsia="Noto Sans KR"/>
          <w:b/>
          <w:i w:val="0"/>
          <w:sz w:val="20"/>
        </w:rPr>
        <w:t>Tier 2~3 대학 타깃 JV</w:t>
      </w:r>
      <w:r>
        <w:rPr>
          <w:rFonts w:ascii="Noto Sans KR" w:hAnsi="Noto Sans KR" w:eastAsia="Noto Sans KR"/>
          <w:b w:val="0"/>
          <w:i w:val="0"/>
          <w:sz w:val="20"/>
        </w:rPr>
        <w:t xml:space="preserve"> 검토 가능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기관급 자산화 가속</w:t>
      </w:r>
      <w:r>
        <w:rPr>
          <w:rFonts w:ascii="Noto Sans KR" w:hAnsi="Noto Sans KR" w:eastAsia="Noto Sans KR"/>
          <w:b w:val="0"/>
          <w:i w:val="0"/>
          <w:sz w:val="20"/>
        </w:rPr>
        <w:t xml:space="preserve">: Fannie Mae $556M 금융, Scion $1.5B 인수는 섹터 통합 신호탄. </w:t>
      </w:r>
      <w:r>
        <w:rPr>
          <w:rFonts w:ascii="Noto Sans KR" w:hAnsi="Noto Sans KR" w:eastAsia="Noto Sans KR"/>
          <w:b/>
          <w:i w:val="0"/>
          <w:sz w:val="20"/>
        </w:rPr>
        <w:t>Core Spaces, Landmark Properties 등 상위 플레이어와 조기 파트너십</w:t>
      </w:r>
      <w:r>
        <w:rPr>
          <w:rFonts w:ascii="Noto Sans KR" w:hAnsi="Noto Sans KR" w:eastAsia="Noto Sans KR"/>
          <w:b w:val="0"/>
          <w:i w:val="0"/>
          <w:sz w:val="20"/>
        </w:rPr>
        <w:t xml:space="preserve"> 통해 3,000+ 베드 프로젝트 co-GP 참여 필요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지역 선별</w:t>
      </w:r>
      <w:r>
        <w:rPr>
          <w:rFonts w:ascii="Noto Sans KR" w:hAnsi="Noto Sans KR" w:eastAsia="Noto Sans KR"/>
          <w:b w:val="0"/>
          <w:i w:val="0"/>
          <w:sz w:val="20"/>
        </w:rPr>
        <w:t>: Georgia, South Carolina, Texas(A&amp;M, UT) 등 공립대 인근 자산 거래 활발. 1,000베드 이상 규모 프로젝트에 자본력+운영력 결합 전략 유효</w:t>
      </w:r>
    </w:p>
    <w:p>
      <w:r>
        <w:rPr>
          <w:rFonts w:ascii="Noto Sans KR" w:hAnsi="Noto Sans KR" w:eastAsia="Noto Sans KR"/>
          <w:b/>
          <w:i w:val="0"/>
          <w:sz w:val="20"/>
        </w:rPr>
        <w:t>BTR 섹터 본격 포트폴리오 구축 시점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기관급 자산군 편입 명확</w:t>
      </w:r>
      <w:r>
        <w:rPr>
          <w:rFonts w:ascii="Noto Sans KR" w:hAnsi="Noto Sans KR" w:eastAsia="Noto Sans KR"/>
          <w:b w:val="0"/>
          <w:i w:val="0"/>
          <w:sz w:val="20"/>
        </w:rPr>
        <w:t>: Phoenix $112.5M 거래, PCCP-Integrity 프로그램형 JV, 영국 연기금의 Blackstone SFR 매입은 BTR의 alternative→core 전환 확인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지역 전략</w:t>
      </w:r>
      <w:r>
        <w:rPr>
          <w:rFonts w:ascii="Noto Sans KR" w:hAnsi="Noto Sans KR" w:eastAsia="Noto Sans KR"/>
          <w:b w:val="0"/>
          <w:i w:val="0"/>
          <w:sz w:val="20"/>
        </w:rPr>
        <w:t xml:space="preserve">: Texas·Florida·Arizona 등 </w:t>
      </w:r>
      <w:r>
        <w:rPr>
          <w:rFonts w:ascii="Noto Sans KR" w:hAnsi="Noto Sans KR" w:eastAsia="Noto Sans KR"/>
          <w:b/>
          <w:i w:val="0"/>
          <w:sz w:val="20"/>
        </w:rPr>
        <w:t>선벨트 2차 도시</w:t>
      </w:r>
      <w:r>
        <w:rPr>
          <w:rFonts w:ascii="Noto Sans KR" w:hAnsi="Noto Sans KR" w:eastAsia="Noto Sans KR"/>
          <w:b w:val="0"/>
          <w:i w:val="0"/>
          <w:sz w:val="20"/>
        </w:rPr>
        <w:t>(Tampa, Charlotte, Chandler) 중심. 인구 유입+주택 구매력 부족 맞물려 구조적 수요 지속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파트너십 모델</w:t>
      </w:r>
      <w:r>
        <w:rPr>
          <w:rFonts w:ascii="Noto Sans KR" w:hAnsi="Noto Sans KR" w:eastAsia="Noto Sans KR"/>
          <w:b w:val="0"/>
          <w:i w:val="0"/>
          <w:sz w:val="20"/>
        </w:rPr>
        <w:t xml:space="preserve">: 100~200유닛 규모, </w:t>
      </w:r>
      <w:r>
        <w:rPr>
          <w:rFonts w:ascii="Noto Sans KR" w:hAnsi="Noto Sans KR" w:eastAsia="Noto Sans KR"/>
          <w:b/>
          <w:i w:val="0"/>
          <w:sz w:val="20"/>
        </w:rPr>
        <w:t>지역 개발사와 JV</w:t>
      </w:r>
      <w:r>
        <w:rPr>
          <w:rFonts w:ascii="Noto Sans KR" w:hAnsi="Noto Sans KR" w:eastAsia="Noto Sans KR"/>
          <w:b w:val="0"/>
          <w:i w:val="0"/>
          <w:sz w:val="20"/>
        </w:rPr>
        <w:t xml:space="preserve"> 통해 off-market 부지 확보 시 선제적 우위. Porter Kyle, Material Capital 등 전문 운영사 제휴로 리싱·물업 전문성 확보 필수</w:t>
      </w:r>
    </w:p>
    <w:p>
      <w:r>
        <w:rPr>
          <w:rFonts w:ascii="Noto Sans KR" w:hAnsi="Noto Sans KR" w:eastAsia="Noto Sans KR"/>
          <w:b/>
          <w:i w:val="0"/>
          <w:sz w:val="20"/>
        </w:rPr>
        <w:t>Affordable Housing 정책금융 레버리지 전략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블렌디드 파이낸스 확산</w:t>
      </w:r>
      <w:r>
        <w:rPr>
          <w:rFonts w:ascii="Noto Sans KR" w:hAnsi="Noto Sans KR" w:eastAsia="Noto Sans KR"/>
          <w:b w:val="0"/>
          <w:i w:val="0"/>
          <w:sz w:val="20"/>
        </w:rPr>
        <w:t xml:space="preserve">: JPMorgan $750B, Apollo-Starwood $1B, 캘리포니아 $239M 갭펀딩은 </w:t>
      </w:r>
      <w:r>
        <w:rPr>
          <w:rFonts w:ascii="Noto Sans KR" w:hAnsi="Noto Sans KR" w:eastAsia="Noto Sans KR"/>
          <w:b/>
          <w:i w:val="0"/>
          <w:sz w:val="20"/>
        </w:rPr>
        <w:t>정책지원+기관자본 결합</w:t>
      </w:r>
      <w:r>
        <w:rPr>
          <w:rFonts w:ascii="Noto Sans KR" w:hAnsi="Noto Sans KR" w:eastAsia="Noto Sans KR"/>
          <w:b w:val="0"/>
          <w:i w:val="0"/>
          <w:sz w:val="20"/>
        </w:rPr>
        <w:t xml:space="preserve"> 수익성 개선 신호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진입 모델</w:t>
      </w:r>
      <w:r>
        <w:rPr>
          <w:rFonts w:ascii="Noto Sans KR" w:hAnsi="Noto Sans KR" w:eastAsia="Noto Sans KR"/>
          <w:b w:val="0"/>
          <w:i w:val="0"/>
          <w:sz w:val="20"/>
        </w:rPr>
        <w:t xml:space="preserve">: Tax credit equity, HUD 보증, 지자체 지상권 등 활용 시 초기 equity 부담 경감. </w:t>
      </w:r>
      <w:r>
        <w:rPr>
          <w:rFonts w:ascii="Noto Sans KR" w:hAnsi="Noto Sans KR" w:eastAsia="Noto Sans KR"/>
          <w:b/>
          <w:i w:val="0"/>
          <w:sz w:val="20"/>
        </w:rPr>
        <w:t>Atlanta, Raleigh 등 협력 프로그램 참여</w:t>
      </w:r>
      <w:r>
        <w:rPr>
          <w:rFonts w:ascii="Noto Sans KR" w:hAnsi="Noto Sans KR" w:eastAsia="Noto Sans KR"/>
          <w:b w:val="0"/>
          <w:i w:val="0"/>
          <w:sz w:val="20"/>
        </w:rPr>
        <w:t>로 mixed-income 프로젝트(시장가 70%+affordable 30%) 검토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ESG 포지셔닝</w:t>
      </w:r>
      <w:r>
        <w:rPr>
          <w:rFonts w:ascii="Noto Sans KR" w:hAnsi="Noto Sans KR" w:eastAsia="Noto Sans KR"/>
          <w:b w:val="0"/>
          <w:i w:val="0"/>
          <w:sz w:val="20"/>
        </w:rPr>
        <w:t>: Kennedy Wilson LA 4,000유닛 전환처럼 리포지셔닝+임팩트 투자 결합. 한국 ESG 펀드 자금과 미국 로컬 개발사 협업 기회</w:t>
      </w:r>
    </w:p>
    <w:p>
      <w:r>
        <w:rPr>
          <w:rFonts w:ascii="Noto Sans KR" w:hAnsi="Noto Sans KR" w:eastAsia="Noto Sans KR"/>
          <w:b/>
          <w:i w:val="0"/>
          <w:sz w:val="20"/>
        </w:rPr>
        <w:t>GP 파트너십 구조 다변화 필요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단일 프로젝트→프로그램형 전환</w:t>
      </w:r>
      <w:r>
        <w:rPr>
          <w:rFonts w:ascii="Noto Sans KR" w:hAnsi="Noto Sans KR" w:eastAsia="Noto Sans KR"/>
          <w:b w:val="0"/>
          <w:i w:val="0"/>
          <w:sz w:val="20"/>
        </w:rPr>
        <w:t xml:space="preserve">: Slate $1B SMA, Brookfield $77B 자금조달은 </w:t>
      </w:r>
      <w:r>
        <w:rPr>
          <w:rFonts w:ascii="Noto Sans KR" w:hAnsi="Noto Sans KR" w:eastAsia="Noto Sans KR"/>
          <w:b/>
          <w:i w:val="0"/>
          <w:sz w:val="20"/>
        </w:rPr>
        <w:t>3~5년 복수 프로젝트 프로그램 구조</w:t>
      </w:r>
      <w:r>
        <w:rPr>
          <w:rFonts w:ascii="Noto Sans KR" w:hAnsi="Noto Sans KR" w:eastAsia="Noto Sans KR"/>
          <w:b w:val="0"/>
          <w:i w:val="0"/>
          <w:sz w:val="20"/>
        </w:rPr>
        <w:t xml:space="preserve"> 선호 시사. 중견 개발사(Harrison Street, Triten 등)와 파트너십으로 </w:t>
      </w:r>
      <w:r>
        <w:rPr>
          <w:rFonts w:ascii="Noto Sans KR" w:hAnsi="Noto Sans KR" w:eastAsia="Noto Sans KR"/>
          <w:b/>
          <w:i w:val="0"/>
          <w:sz w:val="20"/>
        </w:rPr>
        <w:t>자본 효율성+파이프라인 안정성</w:t>
      </w:r>
      <w:r>
        <w:rPr>
          <w:rFonts w:ascii="Noto Sans KR" w:hAnsi="Noto Sans KR" w:eastAsia="Noto Sans KR"/>
          <w:b w:val="0"/>
          <w:i w:val="0"/>
          <w:sz w:val="20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KR" w:hAnsi="Noto Sans KR"/>
        <w:sz w:val="18"/>
      </w:rPr>
      <w:fldChar w:fldCharType="begin"/>
      <w:instrText>PAGE</w:instrText>
      <w:fldChar w:fldCharType="separate"/>
      <w:fldChar w:fldCharType="end"/>
    </w:r>
    <w:r>
      <w:tab/>
      <w:tab/>
    </w:r>
    <w:r>
      <w:rPr>
        <w:rFonts w:ascii="Noto Sans KR" w:hAnsi="Noto Sans KR" w:eastAsia="Noto Sans KR"/>
        <w:b w:val="0"/>
        <w:i w:val="0"/>
        <w:color w:val="999999"/>
        <w:sz w:val="18"/>
      </w:rPr>
      <w:t>2026년 8월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1B3A5C"/>
      </w:pBdr>
    </w:pPr>
    <w:r>
      <w:rPr>
        <w:rFonts w:ascii="Noto Sans KR" w:hAnsi="Noto Sans KR" w:eastAsia="Noto Sans KR"/>
        <w:b w:val="0"/>
        <w:i w:val="0"/>
        <w:color w:val="999999"/>
        <w:sz w:val="20"/>
      </w:rPr>
      <w:t>우미글로벌 해외사업팀 | 대외비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