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2026-06-09 ~ 2026-06-16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06월 16일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분석기간:** 2026년 6월 9일 ~ 6월 16일 | **총 396건 분석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연준 스트레스 테스트 예고</w:t>
      </w:r>
      <w:r>
        <w:rPr>
          <w:rFonts w:ascii="Noto Sans KR" w:hAnsi="Noto Sans KR" w:eastAsia="Noto Sans KR"/>
          <w:b w:val="0"/>
          <w:i w:val="0"/>
          <w:sz w:val="20"/>
        </w:rPr>
        <w:t>: 연방준비제도가 6월 24일 은행 스트레스 테스트 결과 발표 예정, 상업용 부동산 익스포저 평가 결과가 multifamily 금융시장에 영향 줄 전망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HUD의 AI 인허가 지원</w:t>
      </w:r>
      <w:r>
        <w:rPr>
          <w:rFonts w:ascii="Noto Sans KR" w:hAnsi="Noto Sans KR" w:eastAsia="Noto Sans KR"/>
          <w:b w:val="0"/>
          <w:i w:val="0"/>
          <w:sz w:val="20"/>
        </w:rPr>
        <w:t>: HUD가 자동화 인허가 및 건축법규 시스템에 최대 $3M 보조금 지원, 7월 13일까지 신청 가능하며 개발 프로세스 가속화 기대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시카고 임대규제 개편 추진</w:t>
      </w:r>
      <w:r>
        <w:rPr>
          <w:rFonts w:ascii="Noto Sans KR" w:hAnsi="Noto Sans KR" w:eastAsia="Noto Sans KR"/>
          <w:b w:val="0"/>
          <w:i w:val="0"/>
          <w:sz w:val="20"/>
        </w:rPr>
        <w:t>: Brandon Johnson 시장이 대규모 임대 규칙 개편안 준비 중, multifamily 운영자들은 운영비용 추가 상승과 투자 매력도 저하 우려 표명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뉴욕시 건설붐 역설</w:t>
      </w:r>
      <w:r>
        <w:rPr>
          <w:rFonts w:ascii="Noto Sans KR" w:hAnsi="Noto Sans KR" w:eastAsia="Noto Sans KR"/>
          <w:b w:val="0"/>
          <w:i w:val="0"/>
          <w:sz w:val="20"/>
        </w:rPr>
        <w:t>: 공실률 2%대 유지에도 불구하고 미국 내 아파트 건설 선두 주자로 부상, 정책 변화가 공급 확대 촉진한 것으로 분석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애틀랜타 저소득층 주택 펀드 소진</w:t>
      </w:r>
      <w:r>
        <w:rPr>
          <w:rFonts w:ascii="Noto Sans KR" w:hAnsi="Noto Sans KR" w:eastAsia="Noto Sans KR"/>
          <w:b w:val="0"/>
          <w:i w:val="0"/>
          <w:sz w:val="20"/>
        </w:rPr>
        <w:t>: $100M 규모 Housing Opportunity Bond가 2023년 출시 후 완전 소진, 추가 자금 조달 방안 모색 중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M&amp;A 활발</w:t>
      </w:r>
      <w:r>
        <w:rPr>
          <w:rFonts w:ascii="Noto Sans KR" w:hAnsi="Noto Sans KR" w:eastAsia="Noto Sans KR"/>
          <w:b w:val="0"/>
          <w:i w:val="0"/>
          <w:sz w:val="20"/>
        </w:rPr>
        <w:t>: Scion Group이 Student Quarters의 $1.5B 운영 플랫폼(13,000베드) 인수로 미국 최대 student housing 소유주로 입지 강화, LaSalle은 Michigan State University 인근 자산 인수, Balfour Beatty Communities는 Clemson 인근 288베드 자산 인수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기관투자자의 Multifamily 대형 거래</w:t>
      </w:r>
      <w:r>
        <w:rPr>
          <w:rFonts w:ascii="Noto Sans KR" w:hAnsi="Noto Sans KR" w:eastAsia="Noto Sans KR"/>
          <w:b w:val="0"/>
          <w:i w:val="0"/>
          <w:sz w:val="20"/>
        </w:rPr>
        <w:t>: RMR Residential이 코네티컷 그리니치에서 $356M 규모 2개 단지 포트폴리오 인수(역대 최대), DWS Group은 애리조나 Gilbert의 Alta Rise를 Wood Partners로부터 $81.6M($293K/유닛)에 인수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리파이낸싱 시장 재개</w:t>
      </w:r>
      <w:r>
        <w:rPr>
          <w:rFonts w:ascii="Noto Sans KR" w:hAnsi="Noto Sans KR" w:eastAsia="Noto Sans KR"/>
          <w:b w:val="0"/>
          <w:i w:val="0"/>
          <w:sz w:val="20"/>
        </w:rPr>
        <w:t>: QuadReal이 미시시피주 Vista Starkville에 $64M 리파이, Affinius가 샌디에이고 Kearny Mesa의 302유닛에 $120M 제공, Berkadia가 뉴욕 New Rochelle 28층 타워에 $126.4M 제공하며 대출시장 경쟁 심화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투자 확대</w:t>
      </w:r>
      <w:r>
        <w:rPr>
          <w:rFonts w:ascii="Noto Sans KR" w:hAnsi="Noto Sans KR" w:eastAsia="Noto Sans KR"/>
          <w:b w:val="0"/>
          <w:i w:val="0"/>
          <w:sz w:val="20"/>
        </w:rPr>
        <w:t>: RLAM이 Watford와 Barking에서 BTR 단지 추가 인수로 포트폴리오 1,000유닛 근접(962유닛), 글로벌 자본의 BTR 섹터 관심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Senior Housing 대형 거래</w:t>
      </w:r>
      <w:r>
        <w:rPr>
          <w:rFonts w:ascii="Noto Sans KR" w:hAnsi="Noto Sans KR" w:eastAsia="Noto Sans KR"/>
          <w:b w:val="0"/>
          <w:i w:val="0"/>
          <w:sz w:val="20"/>
        </w:rPr>
        <w:t>: Kayne Anderson Real Estate가 Tradition Senior Living과 파트너십으로 Class A 포트폴리오 재자본화, Stonepeak이 애리조나 스코츠데일 147유닛을 $109M($740K/유닛)에 인수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통합 가속화 주목</w:t>
      </w:r>
      <w:r>
        <w:rPr>
          <w:rFonts w:ascii="Noto Sans KR" w:hAnsi="Noto Sans KR" w:eastAsia="Noto Sans KR"/>
          <w:b w:val="0"/>
          <w:i w:val="0"/>
          <w:sz w:val="20"/>
        </w:rPr>
        <w:t>: Scion의 $1.5B 인수는 섹터 통합 트렌드 신호탄, 특히 대형 공립대학 인근 자산 중심 M&amp;A 지속 예상 → 우미글로벌은 국내 기관투자자 대상 Student Housing 펀드 조성 시 미국 플랫폼 GP와의 파트너십(Scion, LaSalle 등) 검토 필요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섹터 기관급 자산화 명확</w:t>
      </w:r>
      <w:r>
        <w:rPr>
          <w:rFonts w:ascii="Noto Sans KR" w:hAnsi="Noto Sans KR" w:eastAsia="Noto Sans KR"/>
          <w:b w:val="0"/>
          <w:i w:val="0"/>
          <w:sz w:val="20"/>
        </w:rPr>
        <w:t>: 유럽 자본(RLAM)까지 유입되며 alternative에서 core 자산군으로 전환 중, 특히 동남부 성장 지역(조지아, 노스캐롤라이나, 사우스캐롤라이나) 중심 개발 활발 → 한국 보험/연기금 자금 매칭에 유리한 구조, 지역 개발 GP(Material Capital Partners, Center Park Group 등)와 JV 기회 모색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건설비 급등과 Multifamily 개발 경제성 악화</w:t>
      </w:r>
      <w:r>
        <w:rPr>
          <w:rFonts w:ascii="Noto Sans KR" w:hAnsi="Noto Sans KR" w:eastAsia="Noto Sans KR"/>
          <w:b w:val="0"/>
          <w:i w:val="0"/>
          <w:sz w:val="20"/>
        </w:rPr>
        <w:t>: 자재비 상승과 입찰가 정체로 신규 개발 수익성 압박, 오히려 기존 자산 Value-add나 밸류에이션 조정된 안정화 자산 취득이 유리한 환경 → 개발보다는 인수 중심 전략 유효, 디스트레스 기회 모니터링 강화 필요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리파이낸싱 시장 경쟁 심화는 차입 환경 개선 신호</w:t>
      </w:r>
      <w:r>
        <w:rPr>
          <w:rFonts w:ascii="Noto Sans KR" w:hAnsi="Noto Sans KR" w:eastAsia="Noto Sans KR"/>
          <w:b w:val="0"/>
          <w:i w:val="0"/>
          <w:sz w:val="20"/>
        </w:rPr>
        <w:t>: 다수 대형 리파이 거래($64M~$134M)와 "hyper-competitive debt market" 언급은 금리 peak-out 기대 반영, 다만 거래량 회복은 여전히 제한적 → 매수 타이밍보다는 자금조달 구조 최적화에 초점, bridge-to-perm 전략 검토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정책 리스크와 운영비 압박 동시 관리 필요</w:t>
      </w:r>
      <w:r>
        <w:rPr>
          <w:rFonts w:ascii="Noto Sans KR" w:hAnsi="Noto Sans KR" w:eastAsia="Noto Sans KR"/>
          <w:b w:val="0"/>
          <w:i w:val="0"/>
          <w:sz w:val="20"/>
        </w:rPr>
        <w:t>: 시카고 임대규제, LA 인허가 지연, 보험·인건비·재산세 상승이 순영업소득 압박 → 텍사스·플로리다 등 친기업 정책 주(州) 자산 선호도 유지, 우수 PM 파트너 선정이 성과 차별화 핵심 요소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Prepared by:</w:t>
      </w:r>
      <w:r>
        <w:rPr>
          <w:rFonts w:ascii="Noto Sans KR" w:hAnsi="Noto Sans KR" w:eastAsia="Noto Sans KR"/>
          <w:b w:val="0"/>
          <w:i w:val="0"/>
          <w:sz w:val="20"/>
        </w:rPr>
        <w:t xml:space="preserve"> 우미글로벌 해외사업팀 리서치팀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Note:</w:t>
      </w:r>
      <w:r>
        <w:rPr>
          <w:rFonts w:ascii="Noto Sans KR" w:hAnsi="Noto Sans KR" w:eastAsia="Noto Sans KR"/>
          <w:b w:val="0"/>
          <w:i w:val="0"/>
          <w:sz w:val="20"/>
        </w:rPr>
        <w:t xml:space="preserve"> 본 리포트는 공개 뉴스 기반 분석이며, 투자 결정 시 추가 실사 필요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6월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