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2026-08-24 ~ 2026-08-31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08월 31일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인텔리전스 리포트</w:t>
      </w:r>
    </w:p>
    <w:p>
      <w:r>
        <w:rPr>
          <w:rFonts w:ascii="Noto Sans KR" w:hAnsi="Noto Sans KR" w:eastAsia="Noto Sans KR"/>
          <w:b/>
          <w:i w:val="0"/>
          <w:sz w:val="20"/>
        </w:rPr>
        <w:t>기간: 2026-08-24 ~ 2026-08-31 | 작성: 우미글로벌 해외사업팀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1. 개발 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학생주거(Student Housing) 공급 폭발적 확대:</w:t>
      </w:r>
      <w:r>
        <w:rPr>
          <w:rFonts w:ascii="Noto Sans KR" w:hAnsi="Noto Sans KR" w:eastAsia="Noto Sans KR"/>
          <w:b w:val="0"/>
          <w:i w:val="0"/>
          <w:sz w:val="20"/>
        </w:rPr>
        <w:t xml:space="preserve"> Core Spaces가 6개 프로젝트에서 6,000베드를 예정보다 조기 완공하며 2026-27 학년도를 맞이했고, 이 외에도 Landmark Properties(USC 인근 1,261베드), LV Collective(ASU 인근 829베드), Dinerstein(Texas A&amp;M 19층 타워), Gilbane(Purdue Fort Wayne 601베드) 등 대형 딜리버리가 집중되는 한 주. Core Spaces는 현재 54,000베드 규모의 파이프라인을 추가 보유 중.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멀티패밀리 신규 착공 다수 진행 중:</w:t>
      </w:r>
      <w:r>
        <w:rPr>
          <w:rFonts w:ascii="Noto Sans KR" w:hAnsi="Noto Sans KR" w:eastAsia="Noto Sans KR"/>
          <w:b w:val="0"/>
          <w:i w:val="0"/>
          <w:sz w:val="20"/>
        </w:rPr>
        <w:t xml:space="preserve"> Jersey City(Urby/Rockpoint JV, 748유닛 / $277M 건설대출), 버지니아 Bonaventure(344유닛 / $93.3M HUD 대출), Atlanta Brookhaven Woodfield(320유닛), 휴스턴 근교 Alliance Residential(388유닛), 베이에어리어 SummerHill(124M 건설자금) 등 전국적으로 Class A 프로젝트 착공 활발.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BTR(Build-to-Rent) 및 타운홈 니치 성장:</w:t>
      </w:r>
      <w:r>
        <w:rPr>
          <w:rFonts w:ascii="Noto Sans KR" w:hAnsi="Noto Sans KR" w:eastAsia="Noto Sans KR"/>
          <w:b w:val="0"/>
          <w:i w:val="0"/>
          <w:sz w:val="20"/>
        </w:rPr>
        <w:t xml:space="preserve"> 텍사스 Melissa에서 W Properties가 BTR(343유닛) 인접지에 가든형 252유닛 추가 개발, Riverside 캘리포니아에서 Bain Capital JV가 타운홈 180유닛 $74.7M 건설대출 확보. 단독주택 임대수요 타겟 상품의 다양화가 지속.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오피스→주거 전환 및 인필 개발 증가:</w:t>
      </w:r>
      <w:r>
        <w:rPr>
          <w:rFonts w:ascii="Noto Sans KR" w:hAnsi="Noto Sans KR" w:eastAsia="Noto Sans KR"/>
          <w:b w:val="0"/>
          <w:i w:val="0"/>
          <w:sz w:val="20"/>
        </w:rPr>
        <w:t xml:space="preserve"> 토랜스(Gable House 완공), 산타아나(408유닛 완공), 산타모니카(12층 SB 79 적용 프로젝트), 샌프란시스코 Mid-Market(40층 혼합용도 제안) 등 캘리포니아 대도시권에서 노후 상업시설 및 주차장 부지의 주거 전환 활발.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어포더블·워크포스 주거도 병행 진행:</w:t>
      </w:r>
      <w:r>
        <w:rPr>
          <w:rFonts w:ascii="Noto Sans KR" w:hAnsi="Noto Sans KR" w:eastAsia="Noto Sans KR"/>
          <w:b w:val="0"/>
          <w:i w:val="0"/>
          <w:sz w:val="20"/>
        </w:rPr>
        <w:t xml:space="preserve"> 애틀랜타 Herndon Square 어포더블 201유닛 그랜드오픈(Pennrose·Atlanta Housing JV), 포트워스 VIC Partners 워크포스 268유닛 $36.5M 착공 등 보조금·정책 금융을 활용한 중저가 공급도 이어지는 중.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Fed 금리 인상 불확실성 재부상:</w:t>
      </w:r>
      <w:r>
        <w:rPr>
          <w:rFonts w:ascii="Noto Sans KR" w:hAnsi="Noto Sans KR" w:eastAsia="Noto Sans KR"/>
          <w:b w:val="0"/>
          <w:i w:val="0"/>
          <w:sz w:val="20"/>
        </w:rPr>
        <w:t xml:space="preserve"> 잭슨홀에서 신임 Fed 의장 Kevin Warsh가 인플레이션 우려를 강조하며 추가 금리 인상 가능성을 시사. Apartment 업계는 이란과의 전쟁, 미국 국가부채 급증 등 외생 리스크와 맞물린 자금조달 비용 상승을 주시 중.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Fannie Mae 고위 인력 대규모 감원 → 멀티패밀리 대출시장 불안:</w:t>
      </w:r>
      <w:r>
        <w:rPr>
          <w:rFonts w:ascii="Noto Sans KR" w:hAnsi="Noto Sans KR" w:eastAsia="Noto Sans KR"/>
          <w:b w:val="0"/>
          <w:i w:val="0"/>
          <w:sz w:val="20"/>
        </w:rPr>
        <w:t xml:space="preserve"> Fannie Mae가 시니어 스태프 약 12명을 추가 감원하며 주택금융 시장의 구조적 안정성에 대한 우려 확산. 기관 대출 의존도가 높은 멀티패밀리 섹터의 리파이낸싱·신규 조달에 직접적 영향 우려.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뉴욕 건축허가 급감:</w:t>
      </w:r>
      <w:r>
        <w:rPr>
          <w:rFonts w:ascii="Noto Sans KR" w:hAnsi="Noto Sans KR" w:eastAsia="Noto Sans KR"/>
          <w:b w:val="0"/>
          <w:i w:val="0"/>
          <w:sz w:val="20"/>
        </w:rPr>
        <w:t xml:space="preserve"> REBNY 집계 기준 2026년 2Q NYC 신규 건축 허가 면적이 전년 대비 </w:t>
      </w:r>
      <w:r>
        <w:rPr>
          <w:rFonts w:ascii="Noto Sans KR" w:hAnsi="Noto Sans KR" w:eastAsia="Noto Sans KR"/>
          <w:b/>
          <w:i w:val="0"/>
          <w:sz w:val="20"/>
        </w:rPr>
        <w:t>56% 감소</w:t>
      </w:r>
      <w:r>
        <w:rPr>
          <w:rFonts w:ascii="Noto Sans KR" w:hAnsi="Noto Sans KR" w:eastAsia="Noto Sans KR"/>
          <w:b w:val="0"/>
          <w:i w:val="0"/>
          <w:sz w:val="20"/>
        </w:rPr>
        <w:t>, 건수도 33% 하락. 규제 불확실성과 비용 급등이 공급 위축을 가속하고 있으며, 퀸즈 임대시장은 10년 만의 최저 파이프라인 기록.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캘리포니아 SB 79 등 주 정부 공급 촉진 법안 시행 가속:</w:t>
      </w:r>
      <w:r>
        <w:rPr>
          <w:rFonts w:ascii="Noto Sans KR" w:hAnsi="Noto Sans KR" w:eastAsia="Noto Sans KR"/>
          <w:b w:val="0"/>
          <w:i w:val="0"/>
          <w:sz w:val="20"/>
        </w:rPr>
        <w:t xml:space="preserve"> 산타모니카의 SB 79(대중교통 인접 주거 용적 완화) 첫 적용 사례 등장, 주 단위 규제 완화를 활용한 도심 인필 개발이 본격화되는 신호. 연방 vs. 주 정책의 엇갈린 방향이 지역별 개발 리스크·기회를 분화.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멀티패밀리 공급 피크아웃 임박 — 2027년 저점 전망:</w:t>
      </w:r>
      <w:r>
        <w:rPr>
          <w:rFonts w:ascii="Noto Sans KR" w:hAnsi="Noto Sans KR" w:eastAsia="Noto Sans KR"/>
          <w:b w:val="0"/>
          <w:i w:val="0"/>
          <w:sz w:val="20"/>
        </w:rPr>
        <w:t xml:space="preserve"> Yardi Matrix Q3 보고서는 멀티패밀리 신규 공급이 </w:t>
      </w:r>
      <w:r>
        <w:rPr>
          <w:rFonts w:ascii="Noto Sans KR" w:hAnsi="Noto Sans KR" w:eastAsia="Noto Sans KR"/>
          <w:b/>
          <w:i w:val="0"/>
          <w:sz w:val="20"/>
        </w:rPr>
        <w:t>2027년 바닥</w:t>
      </w:r>
      <w:r>
        <w:rPr>
          <w:rFonts w:ascii="Noto Sans KR" w:hAnsi="Noto Sans KR" w:eastAsia="Noto Sans KR"/>
          <w:b w:val="0"/>
          <w:i w:val="0"/>
          <w:sz w:val="20"/>
        </w:rPr>
        <w:t>을 찍은 후 완만하게 반등할 것으로 전망. 다만 2024~2025년 수준 회복은 어렵다고 분석 → 공급 희소성 구간 진입 예고.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 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대형 포트폴리오·M&amp;A 거래 활발:</w:t>
      </w:r>
      <w:r>
        <w:rPr>
          <w:rFonts w:ascii="Noto Sans KR" w:hAnsi="Noto Sans KR" w:eastAsia="Noto Sans KR"/>
          <w:b w:val="0"/>
          <w:i w:val="0"/>
          <w:sz w:val="20"/>
        </w:rPr>
        <w:t xml:space="preserve"> AvalonBay·Equity Residential 합병 후 자산 정리 과정에서 Vivmark Residential이 베이에어리어 아파트 포트폴리오를 </w:t>
      </w:r>
      <w:r>
        <w:rPr>
          <w:rFonts w:ascii="Noto Sans KR" w:hAnsi="Noto Sans KR" w:eastAsia="Noto Sans KR"/>
          <w:b/>
          <w:i w:val="0"/>
          <w:sz w:val="20"/>
        </w:rPr>
        <w:t>$742M</w:t>
      </w:r>
      <w:r>
        <w:rPr>
          <w:rFonts w:ascii="Noto Sans KR" w:hAnsi="Noto Sans KR" w:eastAsia="Noto Sans KR"/>
          <w:b w:val="0"/>
          <w:i w:val="0"/>
          <w:sz w:val="20"/>
        </w:rPr>
        <w:t xml:space="preserve">에 인수. Lincoln Property·Saber-Hightower·Waterfall JV가 Tri-State 멀티패밀리·상업 복합 포트폴리오 </w:t>
      </w:r>
      <w:r>
        <w:rPr>
          <w:rFonts w:ascii="Noto Sans KR" w:hAnsi="Noto Sans KR" w:eastAsia="Noto Sans KR"/>
          <w:b/>
          <w:i w:val="0"/>
          <w:sz w:val="20"/>
        </w:rPr>
        <w:t>$450M</w:t>
      </w:r>
      <w:r>
        <w:rPr>
          <w:rFonts w:ascii="Noto Sans KR" w:hAnsi="Noto Sans KR" w:eastAsia="Noto Sans KR"/>
          <w:b w:val="0"/>
          <w:i w:val="0"/>
          <w:sz w:val="20"/>
        </w:rPr>
        <w:t xml:space="preserve"> 취득. 대형 REIT 재편이 시장 전반 유동성 공급 촉매 역할.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학생주거(Student Housing) M&amp;A 급가속 — 맨해튼 중심:</w:t>
      </w:r>
      <w:r>
        <w:rPr>
          <w:rFonts w:ascii="Noto Sans KR" w:hAnsi="Noto Sans KR" w:eastAsia="Noto Sans KR"/>
          <w:b w:val="0"/>
          <w:i w:val="0"/>
          <w:sz w:val="20"/>
        </w:rPr>
        <w:t xml:space="preserve"> Hawkins Way Capital이 뉴욕 맨해튼 내 3건의 학생주거 자산(The New School Loeb Hall $51.5M, East Village 135 E. 12th St.)을 Varde Partners와 JV 구성해 연속 인수. HH Group도 George Washington University 인근 자산 추가 매입. NYC 대학가 학생주거 컴프레션 가속.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멀티패밀리 개별 자산 거래 다수 성사:</w:t>
      </w:r>
      <w:r>
        <w:rPr>
          <w:rFonts w:ascii="Noto Sans KR" w:hAnsi="Noto Sans KR" w:eastAsia="Noto Sans KR"/>
          <w:b w:val="0"/>
          <w:i w:val="0"/>
          <w:sz w:val="20"/>
        </w:rPr>
        <w:t xml:space="preserve"> Cortland → Fair(West Palm Beach 812유닛, $208M), Laramar Group(시카고 South Loop 656유닛, $166M), Waterton(시애틀 Belltown 344유닛), IPA(콜로라도 Loveland 288유닛), Newmark(Atlanta Sandy Springs 350유닛) 등 주요 도시권 전반에서 산발적 거래 다수 클로징.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신축 리파이낸싱 규모 확대:</w:t>
      </w:r>
      <w:r>
        <w:rPr>
          <w:rFonts w:ascii="Noto Sans KR" w:hAnsi="Noto Sans KR" w:eastAsia="Noto Sans KR"/>
          <w:b w:val="0"/>
          <w:i w:val="0"/>
          <w:sz w:val="20"/>
        </w:rPr>
        <w:t xml:space="preserve"> 시애틀 Museum House(506유닛) $250M 리파이낸싱(Cushman &amp; Wakefield), 보스턴 Winthrop Center $856M 복합 파이낸싱(JLL) 등 완공 자산의 대규모 영구대출 전환 사례 증가 → 크레딧 시장 정상화 신호.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SFR·대출 플랫폼 M&amp;A:</w:t>
      </w:r>
      <w:r>
        <w:rPr>
          <w:rFonts w:ascii="Noto Sans KR" w:hAnsi="Noto Sans KR" w:eastAsia="Noto Sans KR"/>
          <w:b w:val="0"/>
          <w:i w:val="0"/>
          <w:sz w:val="20"/>
        </w:rPr>
        <w:t xml:space="preserve"> Velocity Financial이 Toorak Capital 운영 플랫폼을 인수하며 </w:t>
      </w:r>
      <w:r>
        <w:rPr>
          <w:rFonts w:ascii="Noto Sans KR" w:hAnsi="Noto Sans KR" w:eastAsia="Noto Sans KR"/>
          <w:b/>
          <w:i w:val="0"/>
          <w:sz w:val="20"/>
        </w:rPr>
        <w:t>$3B 대출 포트폴리오</w:t>
      </w:r>
      <w:r>
        <w:rPr>
          <w:rFonts w:ascii="Noto Sans KR" w:hAnsi="Noto Sans KR" w:eastAsia="Noto Sans KR"/>
          <w:b w:val="0"/>
          <w:i w:val="0"/>
          <w:sz w:val="20"/>
        </w:rPr>
        <w:t xml:space="preserve"> 흡수. SFR 및 소규모 멀티패밀리 대출시장의 통합 가속.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 (우미글로벌 해외사업팀 전략적 함의)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🎯 학생주거 GP 파트너십 적기:</w:t>
      </w:r>
      <w:r>
        <w:rPr>
          <w:rFonts w:ascii="Noto Sans KR" w:hAnsi="Noto Sans KR" w:eastAsia="Noto Sans KR"/>
          <w:b w:val="0"/>
          <w:i w:val="0"/>
          <w:sz w:val="20"/>
        </w:rPr>
        <w:t xml:space="preserve"> Hawkins Way, Core Spaces, Landmark Properties, LV Collective 등 핵심 학생주거 디벨로퍼들이 자본 조달과 파이프라인 확장을 동시에 추진 중. 특히 </w:t>
      </w:r>
      <w:r>
        <w:rPr>
          <w:rFonts w:ascii="Noto Sans KR" w:hAnsi="Noto Sans KR" w:eastAsia="Noto Sans KR"/>
          <w:b/>
          <w:i w:val="0"/>
          <w:sz w:val="20"/>
        </w:rPr>
        <w:t>Landmark의 Realty Partners II LP(초기 클로징 $140M)</w:t>
      </w:r>
      <w:r>
        <w:rPr>
          <w:rFonts w:ascii="Noto Sans KR" w:hAnsi="Noto Sans KR" w:eastAsia="Noto Sans KR"/>
          <w:b w:val="0"/>
          <w:i w:val="0"/>
          <w:sz w:val="20"/>
        </w:rPr>
        <w:t xml:space="preserve"> 처럼 신규 펀드를 조성 중인 플레이어들이 LP 앵커 투자자를 필요로 하는 시점 → 우미글로벌의 GP 지분 참여 또는 LP 앵커 역할 진입 창구로 적극 검토 요망.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🏗️ BTR 틈새 공략 우선순위 상향 권고:</w:t>
      </w:r>
      <w:r>
        <w:rPr>
          <w:rFonts w:ascii="Noto Sans KR" w:hAnsi="Noto Sans KR" w:eastAsia="Noto Sans KR"/>
          <w:b w:val="0"/>
          <w:i w:val="0"/>
          <w:sz w:val="20"/>
        </w:rPr>
        <w:t xml:space="preserve"> 텍사스(Melissa), 캘리포니아(Riverside) 등에서 BTR·타운홈 상품이 건설자금 확보와 함께 실행 단계에 진입. 멀티패밀리 공급 과잉 우려가 적고 개별 세대 선호도가 높은 BTR은 한국 투자자의 리스크 회피 성향과도 부합 → </w:t>
      </w:r>
      <w:r>
        <w:rPr>
          <w:rFonts w:ascii="Noto Sans KR" w:hAnsi="Noto Sans KR" w:eastAsia="Noto Sans KR"/>
          <w:b/>
          <w:i w:val="0"/>
          <w:sz w:val="20"/>
        </w:rPr>
        <w:t>선벨트 BTR 지분 투자 파이프라인 발굴 집중</w:t>
      </w:r>
      <w:r>
        <w:rPr>
          <w:rFonts w:ascii="Noto Sans KR" w:hAnsi="Noto Sans KR" w:eastAsia="Noto Sans KR"/>
          <w:b w:val="0"/>
          <w:i w:val="0"/>
          <w:sz w:val="20"/>
        </w:rPr>
        <w:t xml:space="preserve"> 필요.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⚠️ 금리·Fannie Mae 리스크 모니터링 강화:</w:t>
      </w:r>
      <w:r>
        <w:rPr>
          <w:rFonts w:ascii="Noto Sans KR" w:hAnsi="Noto Sans KR" w:eastAsia="Noto Sans KR"/>
          <w:b w:val="0"/>
          <w:i w:val="0"/>
          <w:sz w:val="20"/>
        </w:rPr>
        <w:t xml:space="preserve"> Fed 추가 금리 인상 시그널과 Fannie Mae 인력 감축이 맞물리며 기관대출 의존 프로젝트의 조달 비용·타임라인 지연 리스크 증대. 협상 중인 딜은 </w:t>
      </w:r>
      <w:r>
        <w:rPr>
          <w:rFonts w:ascii="Noto Sans KR" w:hAnsi="Noto Sans KR" w:eastAsia="Noto Sans KR"/>
          <w:b/>
          <w:i w:val="0"/>
          <w:sz w:val="20"/>
        </w:rPr>
        <w:t>고정금리 전환 및 HUD 대출 활용 가능성</w:t>
      </w:r>
      <w:r>
        <w:rPr>
          <w:rFonts w:ascii="Noto Sans KR" w:hAnsi="Noto Sans KR" w:eastAsia="Noto Sans KR"/>
          <w:b w:val="0"/>
          <w:i w:val="0"/>
          <w:sz w:val="20"/>
        </w:rPr>
        <w:t xml:space="preserve"> 우선 검토, 변동금리 브릿지론 과다 노출 프로젝트는 보수적 접근 유지.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📍 공급 저점(2027) 선행 포지셔닝:</w:t>
      </w:r>
      <w:r>
        <w:rPr>
          <w:rFonts w:ascii="Noto Sans KR" w:hAnsi="Noto Sans KR" w:eastAsia="Noto Sans KR"/>
          <w:b w:val="0"/>
          <w:i w:val="0"/>
          <w:sz w:val="20"/>
        </w:rPr>
        <w:t xml:space="preserve"> Yardi의 2027년 공급 바닥 전망과 NYC·선벨트 임대 수요 견조세를 감안하면, </w:t>
      </w:r>
      <w:r>
        <w:rPr>
          <w:rFonts w:ascii="Noto Sans KR" w:hAnsi="Noto Sans KR" w:eastAsia="Noto Sans KR"/>
          <w:b/>
          <w:i w:val="0"/>
          <w:sz w:val="20"/>
        </w:rPr>
        <w:t>2026~2027년 매입 또는 건설 착공 자산은 2028년 이후 임대료 상승 사이클의 수혜</w:t>
      </w:r>
      <w:r>
        <w:rPr>
          <w:rFonts w:ascii="Noto Sans KR" w:hAnsi="Noto Sans KR" w:eastAsia="Noto Sans KR"/>
          <w:b w:val="0"/>
          <w:i w:val="0"/>
          <w:sz w:val="20"/>
        </w:rPr>
        <w:t xml:space="preserve"> 가능성 높음. 현재 Cortland($208M 할인 매각) 등 디벨로퍼의 재무적 매각 사례를 활용한 밸류애드 자산 선별 매입 기회 존재.</w:t>
      </w:r>
    </w:p>
    <w:p>
      <w:pPr>
        <w:pBdr>
          <w:bottom w:val="single" w:sz="4" w:space="1" w:color="1B3A5C"/>
        </w:pBdr>
      </w:pPr>
    </w:p>
    <w:p>
      <w:r>
        <w:rPr>
          <w:rFonts w:ascii="Noto Sans KR" w:hAnsi="Noto Sans KR" w:eastAsia="Noto Sans KR"/>
          <w:b w:val="0"/>
          <w:i w:val="0"/>
          <w:sz w:val="20"/>
        </w:rPr>
        <w:t>*본 리포트는 수집된 뉴스 기사 451건(2026-08-24~08-31) 기반으로 작성되었습니다.*</w:t>
      </w:r>
    </w:p>
    <w:p>
      <w:r>
        <w:rPr>
          <w:rFonts w:ascii="Noto Sans KR" w:hAnsi="Noto Sans KR" w:eastAsia="Noto Sans KR"/>
          <w:b w:val="0"/>
          <w:i w:val="0"/>
          <w:sz w:val="20"/>
        </w:rPr>
        <w:t>*담당 애널리스트: 우미글로벌 해외사업팀 미국 주거시장 리서치*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8월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