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2026-06-03 ~ 2026-06-10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06월 10일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주간 인텔리전스 리포트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Period:</w:t>
      </w:r>
      <w:r>
        <w:rPr>
          <w:rFonts w:ascii="Noto Sans KR" w:hAnsi="Noto Sans KR" w:eastAsia="Noto Sans KR"/>
          <w:b w:val="0"/>
          <w:i w:val="0"/>
          <w:sz w:val="20"/>
        </w:rPr>
        <w:t xml:space="preserve"> 2026-06-03 ~ 2026-06-10 | </w:t>
      </w:r>
      <w:r>
        <w:rPr>
          <w:rFonts w:ascii="Noto Sans KR" w:hAnsi="Noto Sans KR" w:eastAsia="Noto Sans KR"/>
          <w:b/>
          <w:i w:val="0"/>
          <w:sz w:val="20"/>
        </w:rPr>
        <w:t>Sources:</w:t>
      </w:r>
      <w:r>
        <w:rPr>
          <w:rFonts w:ascii="Noto Sans KR" w:hAnsi="Noto Sans KR" w:eastAsia="Noto Sans KR"/>
          <w:b w:val="0"/>
          <w:i w:val="0"/>
          <w:sz w:val="20"/>
        </w:rPr>
        <w:t xml:space="preserve"> 348 articles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대규모 공급 확대</w:t>
      </w:r>
      <w:r>
        <w:rPr>
          <w:rFonts w:ascii="Noto Sans KR" w:hAnsi="Noto Sans KR" w:eastAsia="Noto Sans KR"/>
          <w:b w:val="0"/>
          <w:i w:val="0"/>
          <w:sz w:val="20"/>
        </w:rPr>
        <w:t xml:space="preserve">: Core Spaces가 일리노이대(Urbana-Champaign) 인근 </w:t>
      </w:r>
      <w:r>
        <w:rPr>
          <w:rFonts w:ascii="Noto Sans KR" w:hAnsi="Noto Sans KR" w:eastAsia="Noto Sans KR"/>
          <w:b/>
          <w:i w:val="0"/>
          <w:sz w:val="20"/>
        </w:rPr>
        <w:t>3,500 beds</w:t>
      </w:r>
      <w:r>
        <w:rPr>
          <w:rFonts w:ascii="Noto Sans KR" w:hAnsi="Noto Sans KR" w:eastAsia="Noto Sans KR"/>
          <w:b w:val="0"/>
          <w:i w:val="0"/>
          <w:sz w:val="20"/>
        </w:rPr>
        <w:t xml:space="preserve"> 규모 3개 프로젝트 착수. University of Washington Tacoma는 </w:t>
      </w:r>
      <w:r>
        <w:rPr>
          <w:rFonts w:ascii="Noto Sans KR" w:hAnsi="Noto Sans KR" w:eastAsia="Noto Sans KR"/>
          <w:b/>
          <w:i w:val="0"/>
          <w:sz w:val="20"/>
        </w:rPr>
        <w:t>$115M</w:t>
      </w:r>
      <w:r>
        <w:rPr>
          <w:rFonts w:ascii="Noto Sans KR" w:hAnsi="Noto Sans KR" w:eastAsia="Noto Sans KR"/>
          <w:b w:val="0"/>
          <w:i w:val="0"/>
          <w:sz w:val="20"/>
        </w:rPr>
        <w:t xml:space="preserve"> 규모 학생주거+식당 복합개발 파트너로 Maslow's Campus Communities 선정. University of Arizona는 당초 계획 수정해 </w:t>
      </w:r>
      <w:r>
        <w:rPr>
          <w:rFonts w:ascii="Noto Sans KR" w:hAnsi="Noto Sans KR" w:eastAsia="Noto Sans KR"/>
          <w:b/>
          <w:i w:val="0"/>
          <w:sz w:val="20"/>
        </w:rPr>
        <w:t>1,300 beds</w:t>
      </w:r>
      <w:r>
        <w:rPr>
          <w:rFonts w:ascii="Noto Sans KR" w:hAnsi="Noto Sans KR" w:eastAsia="Noto Sans KR"/>
          <w:b w:val="0"/>
          <w:i w:val="0"/>
          <w:sz w:val="20"/>
        </w:rPr>
        <w:t xml:space="preserve"> 규모 기숙사 착공 진행 중.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Multifamily 도심 재개발 집중</w:t>
      </w:r>
      <w:r>
        <w:rPr>
          <w:rFonts w:ascii="Noto Sans KR" w:hAnsi="Noto Sans KR" w:eastAsia="Noto Sans KR"/>
          <w:b w:val="0"/>
          <w:i w:val="0"/>
          <w:sz w:val="20"/>
        </w:rPr>
        <w:t xml:space="preserve">: LA 다운타운 787 S. Alameda St. 복합용도 프로젝트 승인, Westchester 6055 Center Drive에 </w:t>
      </w:r>
      <w:r>
        <w:rPr>
          <w:rFonts w:ascii="Noto Sans KR" w:hAnsi="Noto Sans KR" w:eastAsia="Noto Sans KR"/>
          <w:b/>
          <w:i w:val="0"/>
          <w:sz w:val="20"/>
        </w:rPr>
        <w:t>19층 고층</w:t>
      </w:r>
      <w:r>
        <w:rPr>
          <w:rFonts w:ascii="Noto Sans KR" w:hAnsi="Noto Sans KR" w:eastAsia="Noto Sans KR"/>
          <w:b w:val="0"/>
          <w:i w:val="0"/>
          <w:sz w:val="20"/>
        </w:rPr>
        <w:t xml:space="preserve"> 착공(개발사 Hanover). Fort Worth Panther Island 지구에 Seco Enterprises가 </w:t>
      </w:r>
      <w:r>
        <w:rPr>
          <w:rFonts w:ascii="Noto Sans KR" w:hAnsi="Noto Sans KR" w:eastAsia="Noto Sans KR"/>
          <w:b/>
          <w:i w:val="0"/>
          <w:sz w:val="20"/>
        </w:rPr>
        <w:t>$100M, 12층</w:t>
      </w:r>
      <w:r>
        <w:rPr>
          <w:rFonts w:ascii="Noto Sans KR" w:hAnsi="Noto Sans KR" w:eastAsia="Noto Sans KR"/>
          <w:b w:val="0"/>
          <w:i w:val="0"/>
          <w:sz w:val="20"/>
        </w:rPr>
        <w:t xml:space="preserve"> 고층 아파트 계획, Phoenix One Camelback 오피스→아파트 전환 </w:t>
      </w:r>
      <w:r>
        <w:rPr>
          <w:rFonts w:ascii="Noto Sans KR" w:hAnsi="Noto Sans KR" w:eastAsia="Noto Sans KR"/>
          <w:b/>
          <w:i w:val="0"/>
          <w:sz w:val="20"/>
        </w:rPr>
        <w:t>90% 완공</w:t>
      </w:r>
      <w:r>
        <w:rPr>
          <w:rFonts w:ascii="Noto Sans KR" w:hAnsi="Noto Sans KR" w:eastAsia="Noto Sans KR"/>
          <w:b w:val="0"/>
          <w:i w:val="0"/>
          <w:sz w:val="20"/>
        </w:rPr>
        <w:t>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BTR/Modular 신규 공급</w:t>
      </w:r>
      <w:r>
        <w:rPr>
          <w:rFonts w:ascii="Noto Sans KR" w:hAnsi="Noto Sans KR" w:eastAsia="Noto Sans KR"/>
          <w:b w:val="0"/>
          <w:i w:val="0"/>
          <w:sz w:val="20"/>
        </w:rPr>
        <w:t xml:space="preserve">: Northwood Ravin이 노스캐롤라이나 Huntersville에 BTR 단지 'The Lodges' 사전 리싱 개시. LA Chinatown 1457 N. Main St. 모듈러 주거단지 완공. Scottsdale IKONIC Scottsdale </w:t>
      </w:r>
      <w:r>
        <w:rPr>
          <w:rFonts w:ascii="Noto Sans KR" w:hAnsi="Noto Sans KR" w:eastAsia="Noto Sans KR"/>
          <w:b/>
          <w:i w:val="0"/>
          <w:sz w:val="20"/>
        </w:rPr>
        <w:t>245 unit, 14층</w:t>
      </w:r>
      <w:r>
        <w:rPr>
          <w:rFonts w:ascii="Noto Sans KR" w:hAnsi="Noto Sans KR" w:eastAsia="Noto Sans KR"/>
          <w:b w:val="0"/>
          <w:i w:val="0"/>
          <w:sz w:val="20"/>
        </w:rPr>
        <w:t xml:space="preserve"> 고급 렌탈타워 </w:t>
      </w:r>
      <w:r>
        <w:rPr>
          <w:rFonts w:ascii="Noto Sans KR" w:hAnsi="Noto Sans KR" w:eastAsia="Noto Sans KR"/>
          <w:b/>
          <w:i w:val="0"/>
          <w:sz w:val="20"/>
        </w:rPr>
        <w:t>$141M</w:t>
      </w:r>
      <w:r>
        <w:rPr>
          <w:rFonts w:ascii="Noto Sans KR" w:hAnsi="Noto Sans KR" w:eastAsia="Noto Sans KR"/>
          <w:b w:val="0"/>
          <w:i w:val="0"/>
          <w:sz w:val="20"/>
        </w:rPr>
        <w:t xml:space="preserve"> 건설금융 확보.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Housing 프로젝트 증가</w:t>
      </w:r>
      <w:r>
        <w:rPr>
          <w:rFonts w:ascii="Noto Sans KR" w:hAnsi="Noto Sans KR" w:eastAsia="Noto Sans KR"/>
          <w:b w:val="0"/>
          <w:i w:val="0"/>
          <w:sz w:val="20"/>
        </w:rPr>
        <w:t xml:space="preserve">: Windsor, CT 구 Konica Minolta 빌딩 </w:t>
      </w:r>
      <w:r>
        <w:rPr>
          <w:rFonts w:ascii="Noto Sans KR" w:hAnsi="Noto Sans KR" w:eastAsia="Noto Sans KR"/>
          <w:b/>
          <w:i w:val="0"/>
          <w:sz w:val="20"/>
        </w:rPr>
        <w:t>복합용도 재개발</w:t>
      </w:r>
      <w:r>
        <w:rPr>
          <w:rFonts w:ascii="Noto Sans KR" w:hAnsi="Noto Sans KR" w:eastAsia="Noto Sans KR"/>
          <w:b w:val="0"/>
          <w:i w:val="0"/>
          <w:sz w:val="20"/>
        </w:rPr>
        <w:t xml:space="preserve"> 허가 진행. Woodland Hills 23022 W. Ventura Blvd. affordable housing 제안. Cinnaire </w:t>
      </w:r>
      <w:r>
        <w:rPr>
          <w:rFonts w:ascii="Noto Sans KR" w:hAnsi="Noto Sans KR" w:eastAsia="Noto Sans KR"/>
          <w:b/>
          <w:i w:val="0"/>
          <w:sz w:val="20"/>
        </w:rPr>
        <w:t>$307M LIHTC 펀드</w:t>
      </w:r>
      <w:r>
        <w:rPr>
          <w:rFonts w:ascii="Noto Sans KR" w:hAnsi="Noto Sans KR" w:eastAsia="Noto Sans KR"/>
          <w:b w:val="0"/>
          <w:i w:val="0"/>
          <w:sz w:val="20"/>
        </w:rPr>
        <w:t xml:space="preserve"> 조성해 10개 주 affordable housing 확장.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주요 허가 지연/변경 사례</w:t>
      </w:r>
      <w:r>
        <w:rPr>
          <w:rFonts w:ascii="Noto Sans KR" w:hAnsi="Noto Sans KR" w:eastAsia="Noto Sans KR"/>
          <w:b w:val="0"/>
          <w:i w:val="0"/>
          <w:sz w:val="20"/>
        </w:rPr>
        <w:t>: Glendale 3411 Foothill Blvd. 멀티패밀리 프로젝트 항소 진행. Pittsburgh 대학이 Hampton Inn 학생주거 전환 계획 허가 문제로 철회.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금리·모기지 리스크 지속</w:t>
      </w:r>
      <w:r>
        <w:rPr>
          <w:rFonts w:ascii="Noto Sans KR" w:hAnsi="Noto Sans KR" w:eastAsia="Noto Sans KR"/>
          <w:b w:val="0"/>
          <w:i w:val="0"/>
          <w:sz w:val="20"/>
        </w:rPr>
        <w:t xml:space="preserve">: 이란 분쟁 장기화 시 모기지 금리 peak </w:t>
      </w:r>
      <w:r>
        <w:rPr>
          <w:rFonts w:ascii="Noto Sans KR" w:hAnsi="Noto Sans KR" w:eastAsia="Noto Sans KR"/>
          <w:b/>
          <w:i w:val="0"/>
          <w:sz w:val="20"/>
        </w:rPr>
        <w:t>6.75% + 0.375~0.435%</w:t>
      </w:r>
      <w:r>
        <w:rPr>
          <w:rFonts w:ascii="Noto Sans KR" w:hAnsi="Noto Sans KR" w:eastAsia="Noto Sans KR"/>
          <w:b w:val="0"/>
          <w:i w:val="0"/>
          <w:sz w:val="20"/>
        </w:rPr>
        <w:t xml:space="preserve"> 상승 전망. 5월 금리 2026년 고점 근접에도 주택 수요는 </w:t>
      </w:r>
      <w:r>
        <w:rPr>
          <w:rFonts w:ascii="Noto Sans KR" w:hAnsi="Noto Sans KR" w:eastAsia="Noto Sans KR"/>
          <w:b/>
          <w:i w:val="0"/>
          <w:sz w:val="20"/>
        </w:rPr>
        <w:t>주간 pending sales 75,935건</w:t>
      </w:r>
      <w:r>
        <w:rPr>
          <w:rFonts w:ascii="Noto Sans KR" w:hAnsi="Noto Sans KR" w:eastAsia="Noto Sans KR"/>
          <w:b w:val="0"/>
          <w:i w:val="0"/>
          <w:sz w:val="20"/>
        </w:rPr>
        <w:t>(전년비 +7%) 양호. 채권시장 변동성으로 상업부동산 거래 모멘텀 둔화 우려.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규제·세금 이슈</w:t>
      </w:r>
      <w:r>
        <w:rPr>
          <w:rFonts w:ascii="Noto Sans KR" w:hAnsi="Noto Sans KR" w:eastAsia="Noto Sans KR"/>
          <w:b w:val="0"/>
          <w:i w:val="0"/>
          <w:sz w:val="20"/>
        </w:rPr>
        <w:t xml:space="preserve">: 뉴욕주 </w:t>
      </w:r>
      <w:r>
        <w:rPr>
          <w:rFonts w:ascii="Noto Sans KR" w:hAnsi="Noto Sans KR" w:eastAsia="Noto Sans KR"/>
          <w:b/>
          <w:i w:val="0"/>
          <w:sz w:val="20"/>
        </w:rPr>
        <w:t>pied-à-terre tax</w:t>
      </w:r>
      <w:r>
        <w:rPr>
          <w:rFonts w:ascii="Noto Sans KR" w:hAnsi="Noto Sans KR" w:eastAsia="Noto Sans KR"/>
          <w:b w:val="0"/>
          <w:i w:val="0"/>
          <w:sz w:val="20"/>
        </w:rPr>
        <w:t xml:space="preserve"> 시행으로 개발용지 거래 위축 가능성. 브루클린 개발 수요는 높으나 </w:t>
      </w:r>
      <w:r>
        <w:rPr>
          <w:rFonts w:ascii="Noto Sans KR" w:hAnsi="Noto Sans KR" w:eastAsia="Noto Sans KR"/>
          <w:b/>
          <w:i w:val="0"/>
          <w:sz w:val="20"/>
        </w:rPr>
        <w:t>고비용·정부규제</w:t>
      </w:r>
      <w:r>
        <w:rPr>
          <w:rFonts w:ascii="Noto Sans KR" w:hAnsi="Noto Sans KR" w:eastAsia="Noto Sans KR"/>
          <w:b w:val="0"/>
          <w:i w:val="0"/>
          <w:sz w:val="20"/>
        </w:rPr>
        <w:t>가 병목. CFPB의 공정주택규제(ECOA) 개정에 대한 소송 제기—공정대출보호 약화 논란.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정책 변화</w:t>
      </w:r>
      <w:r>
        <w:rPr>
          <w:rFonts w:ascii="Noto Sans KR" w:hAnsi="Noto Sans KR" w:eastAsia="Noto Sans KR"/>
          <w:b w:val="0"/>
          <w:i w:val="0"/>
          <w:sz w:val="20"/>
        </w:rPr>
        <w:t xml:space="preserve">: 일리노이주 주 단위 조닝 법안(SB 79) 지자체 반발로 벽에 부딪힘. 보스턴 시의회 </w:t>
      </w:r>
      <w:r>
        <w:rPr>
          <w:rFonts w:ascii="Noto Sans KR" w:hAnsi="Noto Sans KR" w:eastAsia="Noto Sans KR"/>
          <w:b/>
          <w:i w:val="0"/>
          <w:sz w:val="20"/>
        </w:rPr>
        <w:t>주차의무 폐지</w:t>
      </w:r>
      <w:r>
        <w:rPr>
          <w:rFonts w:ascii="Noto Sans KR" w:hAnsi="Noto Sans KR" w:eastAsia="Noto Sans KR"/>
          <w:b w:val="0"/>
          <w:i w:val="0"/>
          <w:sz w:val="20"/>
        </w:rPr>
        <w:t xml:space="preserve"> 검토로 주거 생산 비용 절감 추진. HUD, FHA 최소기준 업데이트 의견수렴 착수.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GSE 민영화 논의</w:t>
      </w:r>
      <w:r>
        <w:rPr>
          <w:rFonts w:ascii="Noto Sans KR" w:hAnsi="Noto Sans KR" w:eastAsia="Noto Sans KR"/>
          <w:b w:val="0"/>
          <w:i w:val="0"/>
          <w:sz w:val="20"/>
        </w:rPr>
        <w:t xml:space="preserve">: 트럼프 대통령, Fannie Mae·Freddie Mac </w:t>
      </w:r>
      <w:r>
        <w:rPr>
          <w:rFonts w:ascii="Noto Sans KR" w:hAnsi="Noto Sans KR" w:eastAsia="Noto Sans KR"/>
          <w:b/>
          <w:i w:val="0"/>
          <w:sz w:val="20"/>
        </w:rPr>
        <w:t>IPO</w:t>
      </w:r>
      <w:r>
        <w:rPr>
          <w:rFonts w:ascii="Noto Sans KR" w:hAnsi="Noto Sans KR" w:eastAsia="Noto Sans KR"/>
          <w:b w:val="0"/>
          <w:i w:val="0"/>
          <w:sz w:val="20"/>
        </w:rPr>
        <w:t xml:space="preserve"> 여전히 고려 중이라고 재확인(FHFA 국장 Pulte가 6/30 DNI 대행직 전환 예정).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원자재·건설비</w:t>
      </w:r>
      <w:r>
        <w:rPr>
          <w:rFonts w:ascii="Noto Sans KR" w:hAnsi="Noto Sans KR" w:eastAsia="Noto Sans KR"/>
          <w:b w:val="0"/>
          <w:i w:val="0"/>
          <w:sz w:val="20"/>
        </w:rPr>
        <w:t xml:space="preserve">: </w:t>
      </w:r>
      <w:r>
        <w:rPr>
          <w:rFonts w:ascii="Noto Sans KR" w:hAnsi="Noto Sans KR" w:eastAsia="Noto Sans KR"/>
          <w:b/>
          <w:i w:val="0"/>
          <w:sz w:val="20"/>
        </w:rPr>
        <w:t>철강 수입 30% 감소</w:t>
      </w:r>
      <w:r>
        <w:rPr>
          <w:rFonts w:ascii="Noto Sans KR" w:hAnsi="Noto Sans KR" w:eastAsia="Noto Sans KR"/>
          <w:b w:val="0"/>
          <w:i w:val="0"/>
          <w:sz w:val="20"/>
        </w:rPr>
        <w:t>(2026년 4월 기준, 관세 효과), 국내 철강 생산 증가로 건설 비용 안정화 기대.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매입 활발</w:t>
      </w:r>
      <w:r>
        <w:rPr>
          <w:rFonts w:ascii="Noto Sans KR" w:hAnsi="Noto Sans KR" w:eastAsia="Noto Sans KR"/>
          <w:b w:val="0"/>
          <w:i w:val="0"/>
          <w:sz w:val="20"/>
        </w:rPr>
        <w:t>: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  <w:t xml:space="preserve">PCCP·Dinerstein JV, Texas A&amp;M 인근 </w:t>
      </w:r>
      <w:r>
        <w:rPr>
          <w:rFonts w:ascii="Noto Sans KR" w:hAnsi="Noto Sans KR" w:eastAsia="Noto Sans KR"/>
          <w:b/>
          <w:i w:val="0"/>
          <w:sz w:val="20"/>
        </w:rPr>
        <w:t>1,128 beds, College Station</w:t>
      </w:r>
      <w:r>
        <w:rPr>
          <w:rFonts w:ascii="Noto Sans KR" w:hAnsi="Noto Sans KR" w:eastAsia="Noto Sans KR"/>
          <w:b w:val="0"/>
          <w:i w:val="0"/>
          <w:sz w:val="20"/>
        </w:rPr>
        <w:t xml:space="preserve"> 매입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  <w:t xml:space="preserve">Hackberry Lane, Florida(U of Florida)·Arkansas 대학 시장 </w:t>
      </w:r>
      <w:r>
        <w:rPr>
          <w:rFonts w:ascii="Noto Sans KR" w:hAnsi="Noto Sans KR" w:eastAsia="Noto Sans KR"/>
          <w:b/>
          <w:i w:val="0"/>
          <w:sz w:val="20"/>
        </w:rPr>
        <w:t>400 beds, 6건</w:t>
      </w:r>
      <w:r>
        <w:rPr>
          <w:rFonts w:ascii="Noto Sans KR" w:hAnsi="Noto Sans KR" w:eastAsia="Noto Sans KR"/>
          <w:b w:val="0"/>
          <w:i w:val="0"/>
          <w:sz w:val="20"/>
        </w:rPr>
        <w:t xml:space="preserve"> 연속 매입으로 포트폴리오 </w:t>
      </w:r>
      <w:r>
        <w:rPr>
          <w:rFonts w:ascii="Noto Sans KR" w:hAnsi="Noto Sans KR" w:eastAsia="Noto Sans KR"/>
          <w:b/>
          <w:i w:val="0"/>
          <w:sz w:val="20"/>
        </w:rPr>
        <w:t>~2,000 beds</w:t>
      </w:r>
      <w:r>
        <w:rPr>
          <w:rFonts w:ascii="Noto Sans KR" w:hAnsi="Noto Sans KR" w:eastAsia="Noto Sans KR"/>
          <w:b w:val="0"/>
          <w:i w:val="0"/>
          <w:sz w:val="20"/>
        </w:rPr>
        <w:t xml:space="preserve"> 확대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  <w:t>Balfour Beatty Communities, South Carolina Clemson Village 매입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  <w:t>TSB Realty, 대규모 student housing 매입 완료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Multifamily 대형 거래·JV</w:t>
      </w:r>
      <w:r>
        <w:rPr>
          <w:rFonts w:ascii="Noto Sans KR" w:hAnsi="Noto Sans KR" w:eastAsia="Noto Sans KR"/>
          <w:b w:val="0"/>
          <w:i w:val="0"/>
          <w:sz w:val="20"/>
        </w:rPr>
        <w:t>: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AvalonBay·Equity Residential 'merger of equals'</w:t>
      </w:r>
      <w:r>
        <w:rPr>
          <w:rFonts w:ascii="Noto Sans KR" w:hAnsi="Noto Sans KR" w:eastAsia="Noto Sans KR"/>
          <w:b w:val="0"/>
          <w:i w:val="0"/>
          <w:sz w:val="20"/>
        </w:rPr>
        <w:t xml:space="preserve"> 경영진 통합 발표(AVB 자본배분, EQR 운영·법무 담당)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  <w:t xml:space="preserve">PCCP·Alliance Residential, Riverside CA </w:t>
      </w:r>
      <w:r>
        <w:rPr>
          <w:rFonts w:ascii="Noto Sans KR" w:hAnsi="Noto Sans KR" w:eastAsia="Noto Sans KR"/>
          <w:b/>
          <w:i w:val="0"/>
          <w:sz w:val="20"/>
        </w:rPr>
        <w:t>184 unit 멀티패밀리 $65.3M($355k/unit)</w:t>
      </w:r>
      <w:r>
        <w:rPr>
          <w:rFonts w:ascii="Noto Sans KR" w:hAnsi="Noto Sans KR" w:eastAsia="Noto Sans KR"/>
          <w:b w:val="0"/>
          <w:i w:val="0"/>
          <w:sz w:val="20"/>
        </w:rPr>
        <w:t xml:space="preserve"> 매입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  <w:t>Nippon Life·</w:t>
      </w:r>
      <w:r>
        <w:rPr>
          <w:rFonts w:ascii="Noto Sans KR" w:hAnsi="Noto Sans KR" w:eastAsia="Noto Sans KR"/>
          <w:b/>
          <w:i w:val="0"/>
          <w:sz w:val="20"/>
        </w:rPr>
        <w:t>Blackstone</w:t>
      </w:r>
      <w:r>
        <w:rPr>
          <w:rFonts w:ascii="Noto Sans KR" w:hAnsi="Noto Sans KR" w:eastAsia="Noto Sans KR"/>
          <w:b w:val="0"/>
          <w:i w:val="0"/>
          <w:sz w:val="20"/>
        </w:rPr>
        <w:t xml:space="preserve"> 전략적 파트너십 체결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  <w:t xml:space="preserve">Kennedy Wilson·APG, 아일랜드 </w:t>
      </w:r>
      <w:r>
        <w:rPr>
          <w:rFonts w:ascii="Noto Sans KR" w:hAnsi="Noto Sans KR" w:eastAsia="Noto Sans KR"/>
          <w:b/>
          <w:i w:val="0"/>
          <w:sz w:val="20"/>
        </w:rPr>
        <w:t>€2B 주거개발·운영 플랫폼</w:t>
      </w:r>
      <w:r>
        <w:rPr>
          <w:rFonts w:ascii="Noto Sans KR" w:hAnsi="Noto Sans KR" w:eastAsia="Noto Sans KR"/>
          <w:b w:val="0"/>
          <w:i w:val="0"/>
          <w:sz w:val="20"/>
        </w:rPr>
        <w:t xml:space="preserve"> JV 설립</w:t>
      </w:r>
    </w:p>
    <w:p>
      <w:pPr>
        <w:pStyle w:val="ListBullet2"/>
      </w:pPr>
      <w:r>
        <w:rPr>
          <w:rFonts w:ascii="Noto Sans KR" w:hAnsi="Noto Sans KR" w:eastAsia="Noto Sans KR"/>
          <w:b w:val="0"/>
          <w:i w:val="0"/>
          <w:sz w:val="20"/>
        </w:rPr>
        <w:t xml:space="preserve">New Mountain Capital, 주거자산관리사 </w:t>
      </w:r>
      <w:r>
        <w:rPr>
          <w:rFonts w:ascii="Noto Sans KR" w:hAnsi="Noto Sans KR" w:eastAsia="Noto Sans KR"/>
          <w:b/>
          <w:i w:val="0"/>
          <w:sz w:val="20"/>
        </w:rPr>
        <w:t>Asset Living $2B+ 인수</w:t>
      </w:r>
      <w:r>
        <w:rPr>
          <w:rFonts w:ascii="Noto Sans KR" w:hAnsi="Noto Sans KR" w:eastAsia="Noto Sans KR"/>
          <w:b w:val="0"/>
          <w:i w:val="0"/>
          <w:sz w:val="20"/>
        </w:rPr>
        <w:t xml:space="preserve"> 추진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Property Management·개발 자금</w:t>
      </w:r>
      <w:r>
        <w:rPr>
          <w:rFonts w:ascii="Noto Sans KR" w:hAnsi="Noto Sans KR" w:eastAsia="Noto Sans KR"/>
          <w:b w:val="0"/>
          <w:i w:val="0"/>
          <w:sz w:val="20"/>
        </w:rPr>
        <w:t xml:space="preserve">: Gilbane JV, 오클라호마 오프캠퍼스 주거 건설에 </w:t>
      </w:r>
      <w:r>
        <w:rPr>
          <w:rFonts w:ascii="Noto Sans KR" w:hAnsi="Noto Sans KR" w:eastAsia="Noto Sans KR"/>
          <w:b/>
          <w:i w:val="0"/>
          <w:sz w:val="20"/>
        </w:rPr>
        <w:t>$31M</w:t>
      </w:r>
      <w:r>
        <w:rPr>
          <w:rFonts w:ascii="Noto Sans KR" w:hAnsi="Noto Sans KR" w:eastAsia="Noto Sans KR"/>
          <w:b w:val="0"/>
          <w:i w:val="0"/>
          <w:sz w:val="20"/>
        </w:rPr>
        <w:t xml:space="preserve"> 조달. Magic Johnson·Greystar·UPenn, </w:t>
      </w:r>
      <w:r>
        <w:rPr>
          <w:rFonts w:ascii="Noto Sans KR" w:hAnsi="Noto Sans KR" w:eastAsia="Noto Sans KR"/>
          <w:b/>
          <w:i w:val="0"/>
          <w:sz w:val="20"/>
        </w:rPr>
        <w:t>493 beds</w:t>
      </w:r>
      <w:r>
        <w:rPr>
          <w:rFonts w:ascii="Noto Sans KR" w:hAnsi="Noto Sans KR" w:eastAsia="Noto Sans KR"/>
          <w:b w:val="0"/>
          <w:i w:val="0"/>
          <w:sz w:val="20"/>
        </w:rPr>
        <w:t xml:space="preserve"> 재개발 JV 체결. CMB Regional Centers, 오리건 유진 student housing EB-5 프로젝트 승인.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Housing 자본</w:t>
      </w:r>
      <w:r>
        <w:rPr>
          <w:rFonts w:ascii="Noto Sans KR" w:hAnsi="Noto Sans KR" w:eastAsia="Noto Sans KR"/>
          <w:b w:val="0"/>
          <w:i w:val="0"/>
          <w:sz w:val="20"/>
        </w:rPr>
        <w:t xml:space="preserve">: Chicago Holsten 포트폴리오 </w:t>
      </w:r>
      <w:r>
        <w:rPr>
          <w:rFonts w:ascii="Noto Sans KR" w:hAnsi="Noto Sans KR" w:eastAsia="Noto Sans KR"/>
          <w:b/>
          <w:i w:val="0"/>
          <w:sz w:val="20"/>
        </w:rPr>
        <w:t>17개 매물</w:t>
      </w:r>
      <w:r>
        <w:rPr>
          <w:rFonts w:ascii="Noto Sans KR" w:hAnsi="Noto Sans KR" w:eastAsia="Noto Sans KR"/>
          <w:b w:val="0"/>
          <w:i w:val="0"/>
          <w:sz w:val="20"/>
        </w:rPr>
        <w:t xml:space="preserve"> 투어·입찰 진행 중.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투자 기회 명확</w:t>
      </w:r>
      <w:r>
        <w:rPr>
          <w:rFonts w:ascii="Noto Sans KR" w:hAnsi="Noto Sans KR" w:eastAsia="Noto Sans KR"/>
          <w:b w:val="0"/>
          <w:i w:val="0"/>
          <w:sz w:val="20"/>
        </w:rPr>
        <w:t xml:space="preserve">: Core Spaces·Hackberry Lane·PCCP 등 주요 player들이 공격적 매입·개발 지속. </w:t>
      </w:r>
      <w:r>
        <w:rPr>
          <w:rFonts w:ascii="Noto Sans KR" w:hAnsi="Noto Sans KR" w:eastAsia="Noto Sans KR"/>
          <w:b/>
          <w:i w:val="0"/>
          <w:sz w:val="20"/>
        </w:rPr>
        <w:t>Texas A&amp;M, U of Florida, U of Illinois</w:t>
      </w:r>
      <w:r>
        <w:rPr>
          <w:rFonts w:ascii="Noto Sans KR" w:hAnsi="Noto Sans KR" w:eastAsia="Noto Sans KR"/>
          <w:b w:val="0"/>
          <w:i w:val="0"/>
          <w:sz w:val="20"/>
        </w:rPr>
        <w:t xml:space="preserve"> 등 대형 캠퍼스 인근 자산 거래 활발—우미글로벌은 운영 파트너(Dinerstein, Balfour Beatty 등)와 </w:t>
      </w:r>
      <w:r>
        <w:rPr>
          <w:rFonts w:ascii="Noto Sans KR" w:hAnsi="Noto Sans KR" w:eastAsia="Noto Sans KR"/>
          <w:b/>
          <w:i w:val="0"/>
          <w:sz w:val="20"/>
        </w:rPr>
        <w:t>GP equity co-invest</w:t>
      </w:r>
      <w:r>
        <w:rPr>
          <w:rFonts w:ascii="Noto Sans KR" w:hAnsi="Noto Sans KR" w:eastAsia="Noto Sans KR"/>
          <w:b w:val="0"/>
          <w:i w:val="0"/>
          <w:sz w:val="20"/>
        </w:rPr>
        <w:t xml:space="preserve"> 기회 타진 필요. Preleasing </w:t>
      </w:r>
      <w:r>
        <w:rPr>
          <w:rFonts w:ascii="Noto Sans KR" w:hAnsi="Noto Sans KR" w:eastAsia="Noto Sans KR"/>
          <w:b/>
          <w:i w:val="0"/>
          <w:sz w:val="20"/>
        </w:rPr>
        <w:t>71.6%</w:t>
      </w:r>
      <w:r>
        <w:rPr>
          <w:rFonts w:ascii="Noto Sans KR" w:hAnsi="Noto Sans KR" w:eastAsia="Noto Sans KR"/>
          <w:b w:val="0"/>
          <w:i w:val="0"/>
          <w:sz w:val="20"/>
        </w:rPr>
        <w:t>(4월 기준)로 전년 대비 양호하나 공급 증가 주의.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시장 성숙 가속</w:t>
      </w:r>
      <w:r>
        <w:rPr>
          <w:rFonts w:ascii="Noto Sans KR" w:hAnsi="Noto Sans KR" w:eastAsia="Noto Sans KR"/>
          <w:b w:val="0"/>
          <w:i w:val="0"/>
          <w:sz w:val="20"/>
        </w:rPr>
        <w:t xml:space="preserve">: Northwood Ravin, Porter Kyle Builders 등 BTR 전문 개발사 조직 강화 및 대형 프로젝트 착수. Phoenix·Charlotte 등 </w:t>
      </w:r>
      <w:r>
        <w:rPr>
          <w:rFonts w:ascii="Noto Sans KR" w:hAnsi="Noto Sans KR" w:eastAsia="Noto Sans KR"/>
          <w:b/>
          <w:i w:val="0"/>
          <w:sz w:val="20"/>
        </w:rPr>
        <w:t>Sunbelt 주요 MSA</w:t>
      </w:r>
      <w:r>
        <w:rPr>
          <w:rFonts w:ascii="Noto Sans KR" w:hAnsi="Noto Sans KR" w:eastAsia="Noto Sans KR"/>
          <w:b w:val="0"/>
          <w:i w:val="0"/>
          <w:sz w:val="20"/>
        </w:rPr>
        <w:t xml:space="preserve"> 중심—한국 자본 BTR 포트폴리오 구축 시 현지 개발·PM 파트너십 필수. PCCP·Alliance 같은 </w:t>
      </w:r>
      <w:r>
        <w:rPr>
          <w:rFonts w:ascii="Noto Sans KR" w:hAnsi="Noto Sans KR" w:eastAsia="Noto Sans KR"/>
          <w:b/>
          <w:i w:val="0"/>
          <w:sz w:val="20"/>
        </w:rPr>
        <w:t>institutional JV 모델</w:t>
      </w:r>
      <w:r>
        <w:rPr>
          <w:rFonts w:ascii="Noto Sans KR" w:hAnsi="Noto Sans KR" w:eastAsia="Noto Sans KR"/>
          <w:b w:val="0"/>
          <w:i w:val="0"/>
          <w:sz w:val="20"/>
        </w:rPr>
        <w:t xml:space="preserve"> 벤치마킹 검토.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Multifamily 대형 통합·JV 트렌드</w:t>
      </w:r>
      <w:r>
        <w:rPr>
          <w:rFonts w:ascii="Noto Sans KR" w:hAnsi="Noto Sans KR" w:eastAsia="Noto Sans KR"/>
          <w:b w:val="0"/>
          <w:i w:val="0"/>
          <w:sz w:val="20"/>
        </w:rPr>
        <w:t xml:space="preserve">: AvalonBay·EQR 통합, Blackstone·Nippon Life 같은 </w:t>
      </w:r>
      <w:r>
        <w:rPr>
          <w:rFonts w:ascii="Noto Sans KR" w:hAnsi="Noto Sans KR" w:eastAsia="Noto Sans KR"/>
          <w:b/>
          <w:i w:val="0"/>
          <w:sz w:val="20"/>
        </w:rPr>
        <w:t>글로벌 자본 파트너십</w:t>
      </w:r>
      <w:r>
        <w:rPr>
          <w:rFonts w:ascii="Noto Sans KR" w:hAnsi="Noto Sans KR" w:eastAsia="Noto Sans KR"/>
          <w:b w:val="0"/>
          <w:i w:val="0"/>
          <w:sz w:val="20"/>
        </w:rPr>
        <w:t xml:space="preserve"> 확대는 미국 멀티패밀리 시장 consolidation 신호. 우미글로벌은 중소형 멀티패밀리 포트폴리오 매입·운영 시 </w:t>
      </w:r>
      <w:r>
        <w:rPr>
          <w:rFonts w:ascii="Noto Sans KR" w:hAnsi="Noto Sans KR" w:eastAsia="Noto Sans KR"/>
          <w:b/>
          <w:i w:val="0"/>
          <w:sz w:val="20"/>
        </w:rPr>
        <w:t>대형 GP와 전략적 제휴</w:t>
      </w:r>
      <w:r>
        <w:rPr>
          <w:rFonts w:ascii="Noto Sans KR" w:hAnsi="Noto Sans KR" w:eastAsia="Noto Sans KR"/>
          <w:b w:val="0"/>
          <w:i w:val="0"/>
          <w:sz w:val="20"/>
        </w:rPr>
        <w:t>로 규모 확보·운영 효율화 추구 가능.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금리·정책 리스크 관리 필수</w:t>
      </w:r>
      <w:r>
        <w:rPr>
          <w:rFonts w:ascii="Noto Sans KR" w:hAnsi="Noto Sans KR" w:eastAsia="Noto Sans KR"/>
          <w:b w:val="0"/>
          <w:i w:val="0"/>
          <w:sz w:val="20"/>
        </w:rPr>
        <w:t xml:space="preserve">: 금리 변동성 지속, GSE IPO·CFPB 규제 불확실성 존재. </w:t>
      </w:r>
      <w:r>
        <w:rPr>
          <w:rFonts w:ascii="Noto Sans KR" w:hAnsi="Noto Sans KR" w:eastAsia="Noto Sans KR"/>
          <w:b/>
          <w:i w:val="0"/>
          <w:sz w:val="20"/>
        </w:rPr>
        <w:t>고정금리 장기 데트 확보</w:t>
      </w:r>
      <w:r>
        <w:rPr>
          <w:rFonts w:ascii="Noto Sans KR" w:hAnsi="Noto Sans KR" w:eastAsia="Noto Sans KR"/>
          <w:b w:val="0"/>
          <w:i w:val="0"/>
          <w:sz w:val="20"/>
        </w:rPr>
        <w:t xml:space="preserve"> 및 Sunbelt·대학도시 등 </w:t>
      </w:r>
      <w:r>
        <w:rPr>
          <w:rFonts w:ascii="Noto Sans KR" w:hAnsi="Noto Sans KR" w:eastAsia="Noto Sans KR"/>
          <w:b/>
          <w:i w:val="0"/>
          <w:sz w:val="20"/>
        </w:rPr>
        <w:t>수요 안정 지역 선별</w:t>
      </w:r>
      <w:r>
        <w:rPr>
          <w:rFonts w:ascii="Noto Sans KR" w:hAnsi="Noto Sans KR" w:eastAsia="Noto Sans KR"/>
          <w:b w:val="0"/>
          <w:i w:val="0"/>
          <w:sz w:val="20"/>
        </w:rPr>
        <w:t xml:space="preserve"> 전략 유지. 철강 수입 감소·국내 생산 증가로 건설비 안정화 추세는 신규 개발 타이밍에 긍정적.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Affordable/Workforce Housing 기회</w:t>
      </w:r>
      <w:r>
        <w:rPr>
          <w:rFonts w:ascii="Noto Sans KR" w:hAnsi="Noto Sans KR" w:eastAsia="Noto Sans KR"/>
          <w:b w:val="0"/>
          <w:i w:val="0"/>
          <w:sz w:val="20"/>
        </w:rPr>
        <w:t>: LIHTC 펀드 조성·Chicago 대형 포트폴리오 매물 출현은 affordable 섹터 자본 유입 활발 시사. 정부 인센티브·ESG 측면에서 장기 안정 수익 가능—</w:t>
      </w:r>
      <w:r>
        <w:rPr>
          <w:rFonts w:ascii="Noto Sans KR" w:hAnsi="Noto Sans KR" w:eastAsia="Noto Sans KR"/>
          <w:b/>
          <w:i w:val="0"/>
          <w:sz w:val="20"/>
        </w:rPr>
        <w:t>tax credit equity</w:t>
      </w:r>
      <w:r>
        <w:rPr>
          <w:rFonts w:ascii="Noto Sans KR" w:hAnsi="Noto Sans KR" w:eastAsia="Noto Sans KR"/>
          <w:b w:val="0"/>
          <w:i w:val="0"/>
          <w:sz w:val="20"/>
        </w:rPr>
        <w:t xml:space="preserve"> 참여 또는 affordable 개발 파트너십 검토 권장.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Next Steps:</w:t>
      </w:r>
      <w:r>
        <w:rPr>
          <w:rFonts w:ascii="Noto Sans KR" w:hAnsi="Noto Sans KR" w:eastAsia="Noto Sans KR"/>
          <w:b w:val="0"/>
          <w:i w:val="0"/>
          <w:sz w:val="20"/>
        </w:rPr>
        <w:t xml:space="preserve"> Student Housing GP 파트너(Core Spaces, Hackberry Lane 등) 면담, BTR 개발사(Northwood Ravin 등) 파트너십 탐색, Sunbelt MSA 멀티패밀리 딜 파이프라인 구축.</w:t>
      </w:r>
    </w:p>
    <w:sectPr w:rsidR="00FC693F" w:rsidRPr="0006063C" w:rsidSect="00034616">
      <w:headerReference w:type="default" r:id="rId9"/>
      <w:footerReference w:type="default" r:id="rId10"/>
      <w:pgSz w:w="19" w:h="27"/>
      <w:pgMar w:top="2" w:right="2" w:bottom="2" w:left="2" w:header="1" w:footer="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6월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