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2026-07-19 ~ 2026-07-26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07월 26일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보고 기간</w:t>
      </w:r>
      <w:r>
        <w:rPr>
          <w:rFonts w:ascii="Noto Sans KR" w:hAnsi="Noto Sans KR" w:eastAsia="Noto Sans KR"/>
          <w:b w:val="0"/>
          <w:i w:val="0"/>
          <w:sz w:val="20"/>
        </w:rPr>
        <w:t>: 2026년 7월 19일 ~ 7월 26일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분석 기사</w:t>
      </w:r>
      <w:r>
        <w:rPr>
          <w:rFonts w:ascii="Noto Sans KR" w:hAnsi="Noto Sans KR" w:eastAsia="Noto Sans KR"/>
          <w:b w:val="0"/>
          <w:i w:val="0"/>
          <w:sz w:val="20"/>
        </w:rPr>
        <w:t>: 390건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21st Century ROAD to Housing Act 시행</w:t>
      </w:r>
      <w:r>
        <w:rPr>
          <w:rFonts w:ascii="Noto Sans KR" w:hAnsi="Noto Sans KR" w:eastAsia="Noto Sans KR"/>
          <w:b w:val="0"/>
          <w:i w:val="0"/>
          <w:sz w:val="20"/>
        </w:rPr>
        <w:t>: 연방 주택법 통과로 BTR 투자자들에게 새로운 규제 프레임워크 적용 시작. 구체적 이행 가이드라인과 컴플라이언스 요구사항에 대한 업계 불확실성 존재하나, 주거 공급 확대를 위한 정책 모멘텀은 긍정적.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California 주거공급 정책 강경 대응</w:t>
      </w:r>
      <w:r>
        <w:rPr>
          <w:rFonts w:ascii="Noto Sans KR" w:hAnsi="Noto Sans KR" w:eastAsia="Noto Sans KR"/>
          <w:b w:val="0"/>
          <w:i w:val="0"/>
          <w:sz w:val="20"/>
        </w:rPr>
        <w:t>: Gavin Newsom 주지사가 주택계획 마감 미준수 5개 도시 법정 제소. "일부 도시가 방관하는 동안 주택위기 해결 불가" 선언하며 주정부 차원의 강력한 개발 압박. Beverly Hills는 Builder's Remedy 프로젝트 승인 유지.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New York 임대료 동결 파장</w:t>
      </w:r>
      <w:r>
        <w:rPr>
          <w:rFonts w:ascii="Noto Sans KR" w:hAnsi="Noto Sans KR" w:eastAsia="Noto Sans KR"/>
          <w:b w:val="0"/>
          <w:i w:val="0"/>
          <w:sz w:val="20"/>
        </w:rPr>
        <w:t>: NYC Rent Guidelines Board가 1년/2년 rent-stabilized 리스 갱신 동결 투표 통과(Mamdani 시장 공약 이행). 안정화 임대 부문 NOI 압박 예상되며, 시장 왜곡 효과에 대한 업계 우려 고조.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EB-5 브릿지 파이낸싱 규제 초안 발표</w:t>
      </w:r>
      <w:r>
        <w:rPr>
          <w:rFonts w:ascii="Noto Sans KR" w:hAnsi="Noto Sans KR" w:eastAsia="Noto Sans KR"/>
          <w:b w:val="0"/>
          <w:i w:val="0"/>
          <w:sz w:val="20"/>
        </w:rPr>
        <w:t>: 4년 만에 업데이트된 정책 초안이 브릿지 파이낸싱 제한 포함하며 EB-5 업계 불안 야기. Multifamily 개발 초기단계 자금조달 전략 재검토 필요성 대두.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무역관세 확대로 건축비 압력</w:t>
      </w:r>
      <w:r>
        <w:rPr>
          <w:rFonts w:ascii="Noto Sans KR" w:hAnsi="Noto Sans KR" w:eastAsia="Noto Sans KR"/>
          <w:b w:val="0"/>
          <w:i w:val="0"/>
          <w:sz w:val="20"/>
        </w:rPr>
        <w:t>: 트럼프 행정부가 80개국 이상에 새 관세 부과하며 CRE 자재비 불확실성 증가. 이미 상승한 건축비에 추가 압력 요인으로 작용 가능.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기관 자본의 대형 리캡/M&amp;A 활발</w:t>
      </w:r>
      <w:r>
        <w:rPr>
          <w:rFonts w:ascii="Noto Sans KR" w:hAnsi="Noto Sans KR" w:eastAsia="Noto Sans KR"/>
          <w:b w:val="0"/>
          <w:i w:val="0"/>
          <w:sz w:val="20"/>
        </w:rPr>
        <w:t>: Grubb Properties가 JLL 주선으로 $617M 토탈 자본조달 완료하며 60개 이상 자산 통합, $1.9B 규모 non-traded apartment REIT 탄생. AvalonBay Communities와 Equity Residential의 "merger of equals" 사례 포함, 2026년 주요 multifamily M&amp;A 6건 발표. 운영 플랫폼 통합이 단순 성장 추구 넘어 핵심 전략으로 부상.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대형 금융 거래 집중</w:t>
      </w:r>
      <w:r>
        <w:rPr>
          <w:rFonts w:ascii="Noto Sans KR" w:hAnsi="Noto Sans KR" w:eastAsia="Noto Sans KR"/>
          <w:b w:val="0"/>
          <w:i w:val="0"/>
          <w:sz w:val="20"/>
        </w:rPr>
        <w:t>: JLL이 주선한 UCF 인근 $176.6M 대출은 동 카테고리 사상 최대 규모. Harrison Street가 Boise State 인근 547베드 리파이낸싱, Tempe 530베드 커뮤니티 브릿지론 제공 등 student housing 전문 자본의 적극적 포지셔닝.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일본 자본의 미국 주거 투자 지속</w:t>
      </w:r>
      <w:r>
        <w:rPr>
          <w:rFonts w:ascii="Noto Sans KR" w:hAnsi="Noto Sans KR" w:eastAsia="Noto Sans KR"/>
          <w:b w:val="0"/>
          <w:i w:val="0"/>
          <w:sz w:val="20"/>
        </w:rPr>
        <w:t>: CIM Group이 일본 Hulic Co.와 JV로 West Hollywood 166유닛 아파트 Domain WeHo 인수. LA Business First는 거래가 비공개이나 프리미엄 위치 자산에 대한 크로스보더 자본 관심 반영.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Mid-Cap 거래 활성화</w:t>
      </w:r>
      <w:r>
        <w:rPr>
          <w:rFonts w:ascii="Noto Sans KR" w:hAnsi="Noto Sans KR" w:eastAsia="Noto Sans KR"/>
          <w:b w:val="0"/>
          <w:i w:val="0"/>
          <w:sz w:val="20"/>
        </w:rPr>
        <w:t>: Bascom Group이 Orange County 183유닛 $53M 인수. Boyd Wilson이 Pennsylvania Bethlehem 384유닛 $97M(Northmarq-Freddie Mac $67.9M 시니어론 수반) 인수. Walton Communities가 Atlanta 2개 자산 매각(305유닛 시장형+126유닛 55+ LIHTC) 등 $50M~$100M 밴드 거래 증가.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CMBS 시장 회복 신호</w:t>
      </w:r>
      <w:r>
        <w:rPr>
          <w:rFonts w:ascii="Noto Sans KR" w:hAnsi="Noto Sans KR" w:eastAsia="Noto Sans KR"/>
          <w:b w:val="0"/>
          <w:i w:val="0"/>
          <w:sz w:val="20"/>
        </w:rPr>
        <w:t>: Nomura Securities가 2년래 최대 규모 single-bank SASB CMBS 발행 성공. Multifamily 론 잔액이 2019년 대비 53% 급증($6.14T 중 구성비 변화). Bank OZK는 부동산 익스포저를 47%로 축소 중이나 전반적 대출 시장은 정상화 국면.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섹터 진입 타이밍 최적화</w:t>
      </w:r>
      <w:r>
        <w:rPr>
          <w:rFonts w:ascii="Noto Sans KR" w:hAnsi="Noto Sans KR" w:eastAsia="Noto Sans KR"/>
          <w:b w:val="0"/>
          <w:i w:val="0"/>
          <w:sz w:val="20"/>
        </w:rPr>
        <w:t>: 대학 주변 메가 프로젝트들이 $150M~$2B 규모로 동시다발 진행되며 전문 자본(Harrison Street 등)이 시장 주도. 우미글로벌은 중소형(500~800베드) 타깃 대학 선별 후 지역 개발사와 GP 파트너십 또는 소수지분 co-investment 전략 검토 필요. 특히 Tier 2 대학 도시(Boise State, KSU급)가 경쟁 덜하고 수익률 매력적.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펀드 조성 벤치마킹</w:t>
      </w:r>
      <w:r>
        <w:rPr>
          <w:rFonts w:ascii="Noto Sans KR" w:hAnsi="Noto Sans KR" w:eastAsia="Noto Sans KR"/>
          <w:b w:val="0"/>
          <w:i w:val="0"/>
          <w:sz w:val="20"/>
        </w:rPr>
        <w:t>: PPR Capital Management가 $100M BTR 펀드 론칭하며 Nashville 등 고성장 시장 타겟. 우미글로벌도 BTR 전용 비히클 구성 시 ①단독주택 디자인/AMI 전문성 보유 운영사와의 파트너십, ②Core Spaces/ARK Homes 같은 검증된 오퍼레이터 지분 참여, ③Texas/Florida Sunbelt 지역 집중 전략 유효.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Housing 정책 수혜 포지셔닝</w:t>
      </w:r>
      <w:r>
        <w:rPr>
          <w:rFonts w:ascii="Noto Sans KR" w:hAnsi="Noto Sans KR" w:eastAsia="Noto Sans KR"/>
          <w:b w:val="0"/>
          <w:i w:val="0"/>
          <w:sz w:val="20"/>
        </w:rPr>
        <w:t>: California의 강력한 주거공급 압박과 Builder's Remedy 승인 추세는 LIHTC/세제혜택 결합한 저소득층 주택 개발 기회 확대. Logos Faith 같은 faith-based 개발사나 지자체 파트너십 모델 참조하여, 우미글로벌은 LA County/Bay Area에서 land acquisition 단계 co-GP 참여 또는 인허가 리스크 분담 구조 검토 가능.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Operating Platform 통합 트렌드 활용</w:t>
      </w:r>
      <w:r>
        <w:rPr>
          <w:rFonts w:ascii="Noto Sans KR" w:hAnsi="Noto Sans KR" w:eastAsia="Noto Sans KR"/>
          <w:b w:val="0"/>
          <w:i w:val="0"/>
          <w:sz w:val="20"/>
        </w:rPr>
        <w:t>: Grubb Properties의 $1.9B REIT 전환, Milhaus/Equity Residential 통합 사례는 규모의 경제와 운영 효율성이 차별화 요소임을 시사. 우미글로벌은 단순 자산 매입보다 ①검증된 3PL 운영사 소수지분 인수, ②공동 펀드 결성 후 수수료/carry 구조 협상, ③기존 포트폴리오에 신규 개발 파이프라인 연계 등 플랫폼 레벨 파트너십 우선 고려.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금융환경 변동성 대비</w:t>
      </w:r>
      <w:r>
        <w:rPr>
          <w:rFonts w:ascii="Noto Sans KR" w:hAnsi="Noto Sans KR" w:eastAsia="Noto Sans KR"/>
          <w:b w:val="0"/>
          <w:i w:val="0"/>
          <w:sz w:val="20"/>
        </w:rPr>
        <w:t>: EB-5 규제 불확실성, 무역관세 건축비 압력, NY 임대료 동결 등 정책 리스크 상존. 반면 CMBS 회복과 Freddie Mac/Fannie Mae 유동성은 긍정적. 우미글로벌은 ①고정금리 장기 대출 조기 확보, ②JV 파트너의 정책 로비 능력 평가, ③exit 시나리오에 institutional buyer pool 확보된 자산 선별 필요.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보고서 작성</w:t>
      </w:r>
      <w:r>
        <w:rPr>
          <w:rFonts w:ascii="Noto Sans KR" w:hAnsi="Noto Sans KR" w:eastAsia="Noto Sans KR"/>
          <w:b w:val="0"/>
          <w:i w:val="0"/>
          <w:sz w:val="20"/>
        </w:rPr>
        <w:t>: 우미글로벌 해외사업팀 미국 주거시장 리서치 데스크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다음 보고 예정</w:t>
      </w:r>
      <w:r>
        <w:rPr>
          <w:rFonts w:ascii="Noto Sans KR" w:hAnsi="Noto Sans KR" w:eastAsia="Noto Sans KR"/>
          <w:b w:val="0"/>
          <w:i w:val="0"/>
          <w:sz w:val="20"/>
        </w:rPr>
        <w:t>: 2026년 8월 2일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7월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