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Noto Sans KR" w:hAnsi="Noto Sans KR" w:eastAsia="Noto Sans KR"/>
          <w:b/>
          <w:i w:val="0"/>
          <w:color w:val="1B3A5C"/>
          <w:sz w:val="32"/>
        </w:rPr>
        <w:t>우미글로벌 해외사업팀</w:t>
      </w:r>
    </w:p>
    <w:p/>
    <w:p>
      <w:pPr>
        <w:jc w:val="center"/>
      </w:pPr>
      <w:r>
        <w:rPr>
          <w:rFonts w:ascii="Noto Sans KR" w:hAnsi="Noto Sans KR" w:eastAsia="Noto Sans KR"/>
          <w:b/>
          <w:i w:val="0"/>
          <w:sz w:val="40"/>
        </w:rPr>
        <w:t>미국 주거시장 주간 인텔리전스 리포트</w:t>
      </w:r>
    </w:p>
    <w:p/>
    <w:p>
      <w:pPr>
        <w:jc w:val="center"/>
      </w:pPr>
      <w:r>
        <w:rPr>
          <w:rFonts w:ascii="Noto Sans KR" w:hAnsi="Noto Sans KR" w:eastAsia="Noto Sans KR"/>
          <w:b w:val="0"/>
          <w:i w:val="0"/>
          <w:color w:val="999999"/>
          <w:sz w:val="20"/>
        </w:rPr>
        <w:t>기간: 2026-07-06 ~ 2026-07-13</w:t>
      </w:r>
    </w:p>
    <w:p/>
    <w:p>
      <w:pPr>
        <w:jc w:val="center"/>
      </w:pPr>
      <w:r>
        <w:rPr>
          <w:rFonts w:ascii="Noto Sans KR" w:hAnsi="Noto Sans KR" w:eastAsia="Noto Sans KR"/>
          <w:b w:val="0"/>
          <w:i w:val="0"/>
          <w:color w:val="999999"/>
          <w:sz w:val="20"/>
        </w:rPr>
        <w:t>작성일: 2026년 07월 13일  |  해외사업팀</w:t>
      </w:r>
    </w:p>
    <w:p>
      <w:r>
        <w:br w:type="page"/>
      </w:r>
    </w:p>
    <w:p>
      <w:pPr>
        <w:pBdr>
          <w:bottom w:val="single" w:sz="4" w:space="1" w:color="1B3A5C"/>
        </w:pBdr>
      </w:pPr>
      <w:r>
        <w:rPr>
          <w:rFonts w:ascii="Noto Sans KR" w:hAnsi="Noto Sans KR" w:eastAsia="Noto Sans KR"/>
          <w:b/>
          <w:i w:val="0"/>
          <w:color w:val="1B3A5C"/>
          <w:sz w:val="28"/>
        </w:rPr>
        <w:t>미국 주거시장 주간 인텔리전스 리포트</w:t>
      </w:r>
    </w:p>
    <w:p>
      <w:r>
        <w:rPr>
          <w:rFonts w:ascii="Noto Sans KR" w:hAnsi="Noto Sans KR" w:eastAsia="Noto Sans KR"/>
          <w:b/>
          <w:i w:val="0"/>
          <w:sz w:val="20"/>
        </w:rPr>
        <w:t>분석기간:** 2026년 7월 6일 ~ 7월 13일 | **총 391건 분석</w:t>
      </w:r>
    </w:p>
    <w:p/>
    <w:p>
      <w:pPr>
        <w:pBdr>
          <w:bottom w:val="single" w:sz="4" w:space="1" w:color="2E75B6"/>
        </w:pBdr>
      </w:pPr>
      <w:r>
        <w:rPr>
          <w:rFonts w:ascii="Noto Sans KR" w:hAnsi="Noto Sans KR" w:eastAsia="Noto Sans KR"/>
          <w:b/>
          <w:i w:val="0"/>
          <w:color w:val="2E75B6"/>
          <w:sz w:val="26"/>
        </w:rPr>
        <w:t>2. 정책·이슈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연준 매파 기조 강화</w:t>
      </w:r>
      <w:r>
        <w:rPr>
          <w:rFonts w:ascii="Noto Sans KR" w:hAnsi="Noto Sans KR" w:eastAsia="Noto Sans KR"/>
          <w:b w:val="0"/>
          <w:i w:val="0"/>
          <w:sz w:val="20"/>
        </w:rPr>
        <w:t>: 6월 FOMC 의사록에서 인플레이션 우려 심화 언급, CRE 금융시장 압박 가중. 금리 불확실성 속 장기 건설대출 조달 난이도 상승 예고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DOJ RealPage 가격담합 소송 진전</w:t>
      </w:r>
      <w:r>
        <w:rPr>
          <w:rFonts w:ascii="Noto Sans KR" w:hAnsi="Noto Sans KR" w:eastAsia="Noto Sans KR"/>
          <w:b w:val="0"/>
          <w:i w:val="0"/>
          <w:sz w:val="20"/>
        </w:rPr>
        <w:t>: Willow Bridge가 알고리즘 기반 가격조율 중단 합의. 멀티패밀리 렌트 관리 관행에 대한 규제 리스크 본격화, 향후 렌트 전략 변화 불가피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연방 주택법안 통과</w:t>
      </w:r>
      <w:r>
        <w:rPr>
          <w:rFonts w:ascii="Noto Sans KR" w:hAnsi="Noto Sans KR" w:eastAsia="Noto Sans KR"/>
          <w:b w:val="0"/>
          <w:i w:val="0"/>
          <w:sz w:val="20"/>
        </w:rPr>
        <w:t>: 21st Century ROAD to Housing Act 초당적 지지로 법제화. 주거 공급 확대 및 affordability 개선 방향 정책 기조 확립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Texas 입법 변화 우려</w:t>
      </w:r>
      <w:r>
        <w:rPr>
          <w:rFonts w:ascii="Noto Sans KR" w:hAnsi="Noto Sans KR" w:eastAsia="Noto Sans KR"/>
          <w:b w:val="0"/>
          <w:i w:val="0"/>
          <w:sz w:val="20"/>
        </w:rPr>
        <w:t>: 입법 변화·높은 공급·비용 상승으로 Texas 아파트 소유주 압박. CMBS 디폴트 증가세로 투자 환경 악화 조짐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Toyota 샌안토니오 확장</w:t>
      </w:r>
      <w:r>
        <w:rPr>
          <w:rFonts w:ascii="Noto Sans KR" w:hAnsi="Noto Sans KR" w:eastAsia="Noto Sans KR"/>
          <w:b w:val="0"/>
          <w:i w:val="0"/>
          <w:sz w:val="20"/>
        </w:rPr>
        <w:t>: $3.6B 투자 및 2,000개 일자리 창출 발표로 Texas 주거 수요 중장기 성장 동력 확보</w:t>
      </w:r>
    </w:p>
    <w:p/>
    <w:p>
      <w:pPr>
        <w:pBdr>
          <w:bottom w:val="single" w:sz="4" w:space="1" w:color="2E75B6"/>
        </w:pBdr>
      </w:pPr>
      <w:r>
        <w:rPr>
          <w:rFonts w:ascii="Noto Sans KR" w:hAnsi="Noto Sans KR" w:eastAsia="Noto Sans KR"/>
          <w:b/>
          <w:i w:val="0"/>
          <w:color w:val="2E75B6"/>
          <w:sz w:val="26"/>
        </w:rPr>
        <w:t>3. 거래현황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$100M 이상 대형 거래 활발</w:t>
      </w:r>
      <w:r>
        <w:rPr>
          <w:rFonts w:ascii="Noto Sans KR" w:hAnsi="Noto Sans KR" w:eastAsia="Noto Sans KR"/>
          <w:b w:val="0"/>
          <w:i w:val="0"/>
          <w:sz w:val="20"/>
        </w:rPr>
        <w:t>: Stamford Urby 641유닛($221M), Seattle 2건 합산($172M), Jersey City 혼합개발($188M 리파이낸싱), South Weymouth 기지($65M) 등 기관급 대형 매입·매각 지속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Affordable/Workforce Housing 투자 증가</w:t>
      </w:r>
      <w:r>
        <w:rPr>
          <w:rFonts w:ascii="Noto Sans KR" w:hAnsi="Noto Sans KR" w:eastAsia="Noto Sans KR"/>
          <w:b w:val="0"/>
          <w:i w:val="0"/>
          <w:sz w:val="20"/>
        </w:rPr>
        <w:t>: WNC LIHTC 펀드 $210M 조성, Eagle+Vistria Orange County 402유닛($133M), LA World Trade Center 512유닛 전환 등 어포더블 섹터로 대형 자본 유입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GP·디벨로퍼 JV 구조 선호</w:t>
      </w:r>
      <w:r>
        <w:rPr>
          <w:rFonts w:ascii="Noto Sans KR" w:hAnsi="Noto Sans KR" w:eastAsia="Noto Sans KR"/>
          <w:b w:val="0"/>
          <w:i w:val="0"/>
          <w:sz w:val="20"/>
        </w:rPr>
        <w:t>: Rockpoint-Urby, Brookfield-NED, Kolter-Rockpoint 등 대형 GP와 디벨로퍼 간 JV를 통한 리스크 분산 및 자본 조달 전략 확대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Student Housing 운영사 통합</w:t>
      </w:r>
      <w:r>
        <w:rPr>
          <w:rFonts w:ascii="Noto Sans KR" w:hAnsi="Noto Sans KR" w:eastAsia="Noto Sans KR"/>
          <w:b w:val="0"/>
          <w:i w:val="0"/>
          <w:sz w:val="20"/>
        </w:rPr>
        <w:t>: 최대 운영사의 OSU 인근 $69M 매입 등 규모의 경제 추구 움직임. 기관 자본의 학생주거 자산 편입 가속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선벨트 디스트레스 매물 증가</w:t>
      </w:r>
      <w:r>
        <w:rPr>
          <w:rFonts w:ascii="Noto Sans KR" w:hAnsi="Noto Sans KR" w:eastAsia="Noto Sans KR"/>
          <w:b w:val="0"/>
          <w:i w:val="0"/>
          <w:sz w:val="20"/>
        </w:rPr>
        <w:t>: Texas·Alabama·South Carolina·New York 등지 연체 물건 서비싱 유입. 대출 회수 단계에서 재매각 전 관망세 형성, 향후 밸류 매수 기회 가능성</w:t>
      </w:r>
    </w:p>
    <w:p/>
    <w:p>
      <w:pPr>
        <w:pBdr>
          <w:bottom w:val="single" w:sz="4" w:space="1" w:color="2E75B6"/>
        </w:pBdr>
      </w:pPr>
      <w:r>
        <w:rPr>
          <w:rFonts w:ascii="Noto Sans KR" w:hAnsi="Noto Sans KR" w:eastAsia="Noto Sans KR"/>
          <w:b/>
          <w:i w:val="0"/>
          <w:color w:val="2E75B6"/>
          <w:sz w:val="26"/>
        </w:rPr>
        <w:t>4. 시사점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BTR 진출 타이밍 검토 필요</w:t>
      </w:r>
      <w:r>
        <w:rPr>
          <w:rFonts w:ascii="Noto Sans KR" w:hAnsi="Noto Sans KR" w:eastAsia="Noto Sans KR"/>
          <w:b w:val="0"/>
          <w:i w:val="0"/>
          <w:sz w:val="20"/>
        </w:rPr>
        <w:t>: Phoenix에서 미국 최대 단일 BTR 거래 성사($112.5M), NexMetro의 아틀란타 진출 등 BTR 시장이 기관급 자산으로 자리잡는 중. 우미글로벌의 BTR 개발·운영 역량 활용하여 선벨트 2차 도시 진출 전략 수립 권고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Student Housing GP 파트너십 기회</w:t>
      </w:r>
      <w:r>
        <w:rPr>
          <w:rFonts w:ascii="Noto Sans KR" w:hAnsi="Noto Sans KR" w:eastAsia="Noto Sans KR"/>
          <w:b w:val="0"/>
          <w:i w:val="0"/>
          <w:sz w:val="20"/>
        </w:rPr>
        <w:t>: Greystar, Core Spaces 등 대형 GP의 학생주거 개발 활발. $60M~$1.7B 규모 프로젝트 다수 진행 중으로, 개발 파트너 또는 지분 공동투자 참여 통해 안정적 캐시플로우 확보 가능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Affordable Housing 정책 수혜 포지셔닝</w:t>
      </w:r>
      <w:r>
        <w:rPr>
          <w:rFonts w:ascii="Noto Sans KR" w:hAnsi="Noto Sans KR" w:eastAsia="Noto Sans KR"/>
          <w:b w:val="0"/>
          <w:i w:val="0"/>
          <w:sz w:val="20"/>
        </w:rPr>
        <w:t>: LIHTC 펀드 $210M 조성, 연방 주택법 통과 등 어포더블 섹터 지원 확대. Kennedy Wilson-Jamison LA 4,000유닛 사례처럼 대형 컨버전·신축 프로젝트에 공공 인센티브 결합 전략 유효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디스트레스 자산 모니터링 강화</w:t>
      </w:r>
      <w:r>
        <w:rPr>
          <w:rFonts w:ascii="Noto Sans KR" w:hAnsi="Noto Sans KR" w:eastAsia="Noto Sans KR"/>
          <w:b w:val="0"/>
          <w:i w:val="0"/>
          <w:sz w:val="20"/>
        </w:rPr>
        <w:t>: Texas 등 선벨트 디스트레스 물건 증가세. 서비싱 단계 물건 중 재정비 후 운영 개선 가능한 자산 선별 매입으로 밸류애드 수익률 확보 기회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매파 금리 환경 대응 필요</w:t>
      </w:r>
      <w:r>
        <w:rPr>
          <w:rFonts w:ascii="Noto Sans KR" w:hAnsi="Noto Sans KR" w:eastAsia="Noto Sans KR"/>
          <w:b w:val="0"/>
          <w:i w:val="0"/>
          <w:sz w:val="20"/>
        </w:rPr>
        <w:t>: FOMC 인플레이션 우려 지속 시 건설대출 금리 상승 불가피. 선제적 금리 헷지 전략 및 기존 파트너십 활용한 우선협상 구조 확보로 금융 리스크 최소화 필요</w:t>
      </w:r>
    </w:p>
    <w:p>
      <w:r>
        <w:rPr>
          <w:rFonts w:ascii="Noto Sans KR" w:hAnsi="Noto Sans KR" w:eastAsia="Noto Sans KR"/>
          <w:b/>
          <w:i w:val="0"/>
          <w:sz w:val="20"/>
        </w:rPr>
        <w:t>[보고서 끝]</w:t>
      </w:r>
    </w:p>
    <w:p>
      <w:r>
        <w:rPr>
          <w:rFonts w:ascii="Noto Sans KR" w:hAnsi="Noto Sans KR" w:eastAsia="Noto Sans KR"/>
          <w:b w:val="0"/>
          <w:i w:val="0"/>
          <w:sz w:val="20"/>
        </w:rPr>
        <w:t>*본 리포트는 공개 뉴스 기사 기반 작성되었으며, 투자 판단 시 추가 실사 필수*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KR" w:hAnsi="Noto Sans KR"/>
        <w:sz w:val="18"/>
      </w:rPr>
      <w:fldChar w:fldCharType="begin"/>
      <w:instrText>PAGE</w:instrText>
      <w:fldChar w:fldCharType="separate"/>
      <w:fldChar w:fldCharType="end"/>
    </w:r>
    <w:r>
      <w:tab/>
      <w:tab/>
    </w:r>
    <w:r>
      <w:rPr>
        <w:rFonts w:ascii="Noto Sans KR" w:hAnsi="Noto Sans KR" w:eastAsia="Noto Sans KR"/>
        <w:b w:val="0"/>
        <w:i w:val="0"/>
        <w:color w:val="999999"/>
        <w:sz w:val="18"/>
      </w:rPr>
      <w:t>2026년 7월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1" w:color="1B3A5C"/>
      </w:pBdr>
    </w:pPr>
    <w:r>
      <w:rPr>
        <w:rFonts w:ascii="Noto Sans KR" w:hAnsi="Noto Sans KR" w:eastAsia="Noto Sans KR"/>
        <w:b w:val="0"/>
        <w:i w:val="0"/>
        <w:color w:val="999999"/>
        <w:sz w:val="20"/>
      </w:rPr>
      <w:t>우미글로벌 해외사업팀 | 대외비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