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2026-09-07 ~ 2026-09-14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09월 14일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🇺🇸 미국 주거시장 인텔리전스 리포트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기간: 2026년 9월 7일 ~ 9월 14일</w:t>
      </w:r>
      <w:r>
        <w:rPr>
          <w:rFonts w:ascii="Noto Sans KR" w:hAnsi="Noto Sans KR" w:eastAsia="Noto Sans KR"/>
          <w:b w:val="0"/>
          <w:i w:val="0"/>
          <w:sz w:val="20"/>
        </w:rPr>
        <w:t xml:space="preserve"> | 우미글로벌 해외사업팀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공급 급증세 지속</w:t>
      </w:r>
      <w:r>
        <w:rPr>
          <w:rFonts w:ascii="Noto Sans KR" w:hAnsi="Noto Sans KR" w:eastAsia="Noto Sans KR"/>
          <w:b w:val="0"/>
          <w:i w:val="0"/>
          <w:sz w:val="20"/>
        </w:rPr>
        <w:t>: Starwood Capital·Trinitas JV 3개 대학 인근 2,046beds 개발 착공, University of Arizona $2.47억 규모 기숙사 착공, USF(University of South Florida) $5억 규모 Uptown Landing 착공 등 대형 프로젝트가 주간 내 집중 발표됨. VERVE Tempe(ASU 인근 769beds), Aspire Reserve(Texas A&amp;M 873beds), UT Knoxville 1,024beds 등 준공 사례도 다수 확인.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BTR(Build-to-Rent) 개발 지속 활기</w:t>
      </w:r>
      <w:r>
        <w:rPr>
          <w:rFonts w:ascii="Noto Sans KR" w:hAnsi="Noto Sans KR" w:eastAsia="Noto Sans KR"/>
          <w:b w:val="0"/>
          <w:i w:val="0"/>
          <w:sz w:val="20"/>
        </w:rPr>
        <w:t>: Dominium이 텍사스 Terrell에 350세대 규모 저소득층 BTR 개발 착공(달라스 동쪽 30마일), Trilogy Investment Company가 알라바마 헌츠빌에 172세대 BTR 타운홈 착공대출 클로징. 남부 선벨트 소도시 중심의 BTR 확장세 뚜렷.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복합개발(Mixed-use) 대형 프로젝트 다수 착공</w:t>
      </w:r>
      <w:r>
        <w:rPr>
          <w:rFonts w:ascii="Noto Sans KR" w:hAnsi="Noto Sans KR" w:eastAsia="Noto Sans KR"/>
          <w:b w:val="0"/>
          <w:i w:val="0"/>
          <w:sz w:val="20"/>
        </w:rPr>
        <w:t>: 아리조나 메사 $30억 Legacy Park(아파트+오피스+호텔+리테일) 시의회 승인 임박, 아를링턴 시와 Trammell Crow의 $1.23억 규모 다운타운 복합개발 협약 체결, 포트워스 Van Zandt($4억, 226세대+오피스+리테일) 최고층 골조 완료.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오피스→주거 전환(Adaptive Reuse) 사례 증가</w:t>
      </w:r>
      <w:r>
        <w:rPr>
          <w:rFonts w:ascii="Noto Sans KR" w:hAnsi="Noto Sans KR" w:eastAsia="Noto Sans KR"/>
          <w:b w:val="0"/>
          <w:i w:val="0"/>
          <w:sz w:val="20"/>
        </w:rPr>
        <w:t>: 덴버 Lofts on Monaco(Shea Properties, 기존 오피스 → 아파트 전환, 6월 입주 개시), LA Rosemead 대형 오피스빌딩 철거 후 191세대 주거 전환 계획 제출, 샌프란시스코 구 Sunkist 본사 → 95세대 복합건물로 준공 완료. 오피스 공실 활용 전략이 캘리포니아·콜로라도 등 규제 주에서 확산.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2025년 멀티패밀리 건설 기간 단축 확인</w:t>
      </w:r>
      <w:r>
        <w:rPr>
          <w:rFonts w:ascii="Noto Sans KR" w:hAnsi="Noto Sans KR" w:eastAsia="Noto Sans KR"/>
          <w:b w:val="0"/>
          <w:i w:val="0"/>
          <w:sz w:val="20"/>
        </w:rPr>
        <w:t>: 미 인구조사국 2025 SOC 기준, 착공 후 완공까지 소요 기간이 전년 대비 단축된 것으로 집계. 다만 건설비 부담은 여전히 신규 개발의 구조적 장애 요인으로 작용 중.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DOJ-RealPage 알고리즘 임대료 담합 소송 사실상 마무리</w:t>
      </w:r>
      <w:r>
        <w:rPr>
          <w:rFonts w:ascii="Noto Sans KR" w:hAnsi="Noto Sans KR" w:eastAsia="Noto Sans KR"/>
          <w:b w:val="0"/>
          <w:i w:val="0"/>
          <w:sz w:val="20"/>
        </w:rPr>
        <w:t>: 법무부와 Pinnacle Property Management의 합의 완료로 피고 대부분이 합의 종결. 알고리즘 기반 임대료 결정 소프트웨어(RealPage) 사용이 반독점법 위반으로 인정된 선례로, 향후 운영사의 Pricing Tool 채택 전략에 규제 리스크로 작용 예상.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PPI 상승·Fed 금리 인상 가능성 재부상</w:t>
      </w:r>
      <w:r>
        <w:rPr>
          <w:rFonts w:ascii="Noto Sans KR" w:hAnsi="Noto Sans KR" w:eastAsia="Noto Sans KR"/>
          <w:b w:val="0"/>
          <w:i w:val="0"/>
          <w:sz w:val="20"/>
        </w:rPr>
        <w:t>: 에너지 가격 급등에 따른 생산자물가 상승이 연준의 추가 금리 인상 가능성을 높임. 금리 선물 시장 내 기준금리 인상 베팅 증가 → 국채 수익률 상승 압력이 거래 가격 산정 및 신규 딜 클로징에 단기 불확실성 요인.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리스업(Lease-up) 물량 과잉에 따른 임대료 회복 지연</w:t>
      </w:r>
      <w:r>
        <w:rPr>
          <w:rFonts w:ascii="Noto Sans KR" w:hAnsi="Noto Sans KR" w:eastAsia="Noto Sans KR"/>
          <w:b w:val="0"/>
          <w:i w:val="0"/>
          <w:sz w:val="20"/>
        </w:rPr>
        <w:t>: Yardi Matrix 8월 보고서 기준, 임대료는 전월·전년 대비 소폭 상승했으나 신규 공급 리스업 물량 과다로 회복 속도 제한. "리스업 영향이 시장 예상보다 훨씬 강하고 길다"(Yardi 이코노미스트) — 특히 텍사스 DFW, 일부 선벨트 시장 과공급 압박 심화.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C-PACE 파이낸싱 주류화 조짐</w:t>
      </w:r>
      <w:r>
        <w:rPr>
          <w:rFonts w:ascii="Noto Sans KR" w:hAnsi="Noto Sans KR" w:eastAsia="Noto Sans KR"/>
          <w:b w:val="0"/>
          <w:i w:val="0"/>
          <w:sz w:val="20"/>
        </w:rPr>
        <w:t>: 상업용 친환경 에너지 개선 평가채(C-PACE)가 멀티패밀리 자본 구조 내 핵심 수단으로 부상. 9월 22일 Connect Apartments 2026 컨퍼런스에서 주요 의제로 채택 예정. 기존 선순위 대출과 병행 활용 시 개발 사업성 보완 수단으로 주목.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REIT 합병으로 멀티패밀리 통합 가속</w:t>
      </w:r>
      <w:r>
        <w:rPr>
          <w:rFonts w:ascii="Noto Sans KR" w:hAnsi="Noto Sans KR" w:eastAsia="Noto Sans KR"/>
          <w:b w:val="0"/>
          <w:i w:val="0"/>
          <w:sz w:val="20"/>
        </w:rPr>
        <w:t xml:space="preserve">: Independence Realty Trust(IRT)가 Centerspace를 전액 주식 교환 방식으로 인수 → 기업가치 $81억, 보유 아파트 44,000세대 이상의 대형 REIT 탄생. Mandel Group·Cottonwood 관리 플랫폼 합병도 동주간 발표. </w:t>
      </w:r>
      <w:r>
        <w:rPr>
          <w:rFonts w:ascii="Noto Sans KR" w:hAnsi="Noto Sans KR" w:eastAsia="Noto Sans KR"/>
          <w:b/>
          <w:i w:val="0"/>
          <w:sz w:val="20"/>
        </w:rPr>
        <w:t>규모 확대(Scale-up) 전략이 멀티패밀리 업계 핵심 화두</w:t>
      </w:r>
      <w:r>
        <w:rPr>
          <w:rFonts w:ascii="Noto Sans KR" w:hAnsi="Noto Sans KR" w:eastAsia="Noto Sans KR"/>
          <w:b w:val="0"/>
          <w:i w:val="0"/>
          <w:sz w:val="20"/>
        </w:rPr>
        <w:t>로 부상.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글로벌 자본의 미국 주거 자산 매입 지속</w:t>
      </w:r>
      <w:r>
        <w:rPr>
          <w:rFonts w:ascii="Noto Sans KR" w:hAnsi="Noto Sans KR" w:eastAsia="Noto Sans KR"/>
          <w:b w:val="0"/>
          <w:i w:val="0"/>
          <w:sz w:val="20"/>
        </w:rPr>
        <w:t xml:space="preserve">: 일본 ORIX社가 시애틀 Swell Apartments(200세대) $5,500만 리파이낸싱 제공, 벨기에 Baltisse가 텍사스 어빙 The Louis Las Colinas(374세대) 인수. Bouwinvest(네덜란드, €105억 포트폴리오)도 미국 플랫폼 확장 지속. </w:t>
      </w:r>
      <w:r>
        <w:rPr>
          <w:rFonts w:ascii="Noto Sans KR" w:hAnsi="Noto Sans KR" w:eastAsia="Noto Sans KR"/>
          <w:b/>
          <w:i w:val="0"/>
          <w:sz w:val="20"/>
        </w:rPr>
        <w:t>아시아·유럽계 자본의 선벨트·서부 시장 진입 뚜렷</w:t>
      </w:r>
      <w:r>
        <w:rPr>
          <w:rFonts w:ascii="Noto Sans KR" w:hAnsi="Noto Sans KR" w:eastAsia="Noto Sans KR"/>
          <w:b w:val="0"/>
          <w:i w:val="0"/>
          <w:sz w:val="20"/>
        </w:rPr>
        <w:t>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시니어하우징 M&amp;A 빅딜 집중</w:t>
      </w:r>
      <w:r>
        <w:rPr>
          <w:rFonts w:ascii="Noto Sans KR" w:hAnsi="Noto Sans KR" w:eastAsia="Noto Sans KR"/>
          <w:b w:val="0"/>
          <w:i w:val="0"/>
          <w:sz w:val="20"/>
        </w:rPr>
        <w:t xml:space="preserve">: American Healthcare REIT가 클래스A 시니어주거 8개 커뮤니티 $6.96억에 인수, Morgan Stanley MSREI가 탬파·올랜도 시니어 커뮤니티 2곳(299세대) $9,100만에 인수, Ventas가 텍사스 DFW Heartis Mid Cities(178세대) 인수. 시니어하우징이 이번 주 </w:t>
      </w:r>
      <w:r>
        <w:rPr>
          <w:rFonts w:ascii="Noto Sans KR" w:hAnsi="Noto Sans KR" w:eastAsia="Noto Sans KR"/>
          <w:b/>
          <w:i w:val="0"/>
          <w:sz w:val="20"/>
        </w:rPr>
        <w:t>총 거래 볼륨 기준 최대 섹터</w:t>
      </w:r>
      <w:r>
        <w:rPr>
          <w:rFonts w:ascii="Noto Sans KR" w:hAnsi="Noto Sans KR" w:eastAsia="Noto Sans KR"/>
          <w:b w:val="0"/>
          <w:i w:val="0"/>
          <w:sz w:val="20"/>
        </w:rPr>
        <w:t xml:space="preserve"> 기록.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스튜던트하우징 기관 자본 유입 확대</w:t>
      </w:r>
      <w:r>
        <w:rPr>
          <w:rFonts w:ascii="Noto Sans KR" w:hAnsi="Noto Sans KR" w:eastAsia="Noto Sans KR"/>
          <w:b w:val="0"/>
          <w:i w:val="0"/>
          <w:sz w:val="20"/>
        </w:rPr>
        <w:t xml:space="preserve">: Starwood Capital·Trinitas JV 결성(3개 캠퍼스 2,046beds), CrestMarc·Midloch의 텍사스 헌츠빌 294세대 아파트 인수, TSB Capital의 NAU 인근 448beds 리파이낸싱. 기관 투자자들이 </w:t>
      </w:r>
      <w:r>
        <w:rPr>
          <w:rFonts w:ascii="Noto Sans KR" w:hAnsi="Noto Sans KR" w:eastAsia="Noto Sans KR"/>
          <w:b/>
          <w:i w:val="0"/>
          <w:sz w:val="20"/>
        </w:rPr>
        <w:t>선별적 대학(Fewer, Stronger Universities)</w:t>
      </w:r>
      <w:r>
        <w:rPr>
          <w:rFonts w:ascii="Noto Sans KR" w:hAnsi="Noto Sans KR" w:eastAsia="Noto Sans KR"/>
          <w:b w:val="0"/>
          <w:i w:val="0"/>
          <w:sz w:val="20"/>
        </w:rPr>
        <w:t xml:space="preserve"> 전략으로 집중 투자.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구조적 불량 자산 증가 신호</w:t>
      </w:r>
      <w:r>
        <w:rPr>
          <w:rFonts w:ascii="Noto Sans KR" w:hAnsi="Noto Sans KR" w:eastAsia="Noto Sans KR"/>
          <w:b w:val="0"/>
          <w:i w:val="0"/>
          <w:sz w:val="20"/>
        </w:rPr>
        <w:t xml:space="preserve">: 덴버 X Denver(455세대)가 $1.7억 대출 디폴트로 법원 관리인 선임 요청. 리파이낸싱 압박이 과공급·금리 상승 지역을 중심으로 가시화. Limekiln이 멀티패밀리 브리지 대출사 MF1 지분(50%) Berkshire Residential에 매각하는 등 </w:t>
      </w:r>
      <w:r>
        <w:rPr>
          <w:rFonts w:ascii="Noto Sans KR" w:hAnsi="Noto Sans KR" w:eastAsia="Noto Sans KR"/>
          <w:b/>
          <w:i w:val="0"/>
          <w:sz w:val="20"/>
        </w:rPr>
        <w:t>대출 포트폴리오 재편</w:t>
      </w:r>
      <w:r>
        <w:rPr>
          <w:rFonts w:ascii="Noto Sans KR" w:hAnsi="Noto Sans KR" w:eastAsia="Noto Sans KR"/>
          <w:b w:val="0"/>
          <w:i w:val="0"/>
          <w:sz w:val="20"/>
        </w:rPr>
        <w:t>도 진행 중.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JV 구조가 진입 최적 경로</w:t>
      </w:r>
      <w:r>
        <w:rPr>
          <w:rFonts w:ascii="Noto Sans KR" w:hAnsi="Noto Sans KR" w:eastAsia="Noto Sans KR"/>
          <w:b w:val="0"/>
          <w:i w:val="0"/>
          <w:sz w:val="20"/>
        </w:rPr>
        <w:t xml:space="preserve">: Starwood-Trinitas 모델처럼 </w:t>
      </w:r>
      <w:r>
        <w:rPr>
          <w:rFonts w:ascii="Noto Sans KR" w:hAnsi="Noto Sans KR" w:eastAsia="Noto Sans KR"/>
          <w:b/>
          <w:i w:val="0"/>
          <w:sz w:val="20"/>
        </w:rPr>
        <w:t>전문 운영사(Operator) + 기관 자본(Capital Provider)</w:t>
      </w:r>
      <w:r>
        <w:rPr>
          <w:rFonts w:ascii="Noto Sans KR" w:hAnsi="Noto Sans KR" w:eastAsia="Noto Sans KR"/>
          <w:b w:val="0"/>
          <w:i w:val="0"/>
          <w:sz w:val="20"/>
        </w:rPr>
        <w:t xml:space="preserve"> 분리 구조가 표준화되는 추세. 우미글로벌은 Trinitas, Greystar, Subtext 등 검증된 오퍼레이터와의 JV 구조를 우선 검토할 필요 있음. 투자 대상은 연구중심 대형 주립대(R1) 인근 오프캠퍼스 자산에 집중 — 온캠퍼스 자본 조달($247M UA, $500M USF)과 경쟁 심화로 오프캠퍼스 우량 입지 희소성 증대 예상.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선벨트 BTR 소도시 시장 선점 기회</w:t>
      </w:r>
      <w:r>
        <w:rPr>
          <w:rFonts w:ascii="Noto Sans KR" w:hAnsi="Noto Sans KR" w:eastAsia="Noto Sans KR"/>
          <w:b w:val="0"/>
          <w:i w:val="0"/>
          <w:sz w:val="20"/>
        </w:rPr>
        <w:t xml:space="preserve">: Dominium의 텍사스 Terrell, Trilogy의 알라바마 헌츠빌 등 달라스·내슈빌 위성도시 BTR 개발 활발. 대도시 과공급(DFW 임대료 하방 압력) 대비 </w:t>
      </w:r>
      <w:r>
        <w:rPr>
          <w:rFonts w:ascii="Noto Sans KR" w:hAnsi="Noto Sans KR" w:eastAsia="Noto Sans KR"/>
          <w:b/>
          <w:i w:val="0"/>
          <w:sz w:val="20"/>
        </w:rPr>
        <w:t>위성 중소도시의 수급 갭</w:t>
      </w:r>
      <w:r>
        <w:rPr>
          <w:rFonts w:ascii="Noto Sans KR" w:hAnsi="Noto Sans KR" w:eastAsia="Noto Sans KR"/>
          <w:b w:val="0"/>
          <w:i w:val="0"/>
          <w:sz w:val="20"/>
        </w:rPr>
        <w:t>이 상대적으로 양호. 저소득세액공제(LIHTC)와 결합한 어포더블 BTR은 보조금 리스크를 낮추면서 안정 임차인 확보 가능.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오피스→주거 전환(Adaptive Reuse) 진입 검토</w:t>
      </w:r>
      <w:r>
        <w:rPr>
          <w:rFonts w:ascii="Noto Sans KR" w:hAnsi="Noto Sans KR" w:eastAsia="Noto Sans KR"/>
          <w:b w:val="0"/>
          <w:i w:val="0"/>
          <w:sz w:val="20"/>
        </w:rPr>
        <w:t xml:space="preserve">: 캘리포니아(Rosemead, West Hollywood, SF)·콜로라도(덴버)에서 오피스 전환 인허가 사례 급증. 토지 매입 비용 절감·공급 부족 지역 입지 선점 효과 기대. 단, 구조 보강·환경 실사 비용이 변수이므로 </w:t>
      </w:r>
      <w:r>
        <w:rPr>
          <w:rFonts w:ascii="Noto Sans KR" w:hAnsi="Noto Sans KR" w:eastAsia="Noto Sans KR"/>
          <w:b/>
          <w:i w:val="0"/>
          <w:sz w:val="20"/>
        </w:rPr>
        <w:t>기존 주거 개발사와의 로컬 파트너십</w:t>
      </w:r>
      <w:r>
        <w:rPr>
          <w:rFonts w:ascii="Noto Sans KR" w:hAnsi="Noto Sans KR" w:eastAsia="Noto Sans KR"/>
          <w:b w:val="0"/>
          <w:i w:val="0"/>
          <w:sz w:val="20"/>
        </w:rPr>
        <w:t xml:space="preserve"> 통한 리스크 공유가 필수.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 상승 국면의 브리지 대출 디폴트를 기회로 활용</w:t>
      </w:r>
      <w:r>
        <w:rPr>
          <w:rFonts w:ascii="Noto Sans KR" w:hAnsi="Noto Sans KR" w:eastAsia="Noto Sans KR"/>
          <w:b w:val="0"/>
          <w:i w:val="0"/>
          <w:sz w:val="20"/>
        </w:rPr>
        <w:t xml:space="preserve">: X Denver 사례처럼 2021~2022년 고점 조달 자산의 리파이낸싱 압박이 현실화. 우미글로벌은 </w:t>
      </w:r>
      <w:r>
        <w:rPr>
          <w:rFonts w:ascii="Noto Sans KR" w:hAnsi="Noto Sans KR" w:eastAsia="Noto Sans KR"/>
          <w:b/>
          <w:i w:val="0"/>
          <w:sz w:val="20"/>
        </w:rPr>
        <w:t>Distressed Asset 인수</w:t>
      </w:r>
      <w:r>
        <w:rPr>
          <w:rFonts w:ascii="Noto Sans KR" w:hAnsi="Noto Sans KR" w:eastAsia="Noto Sans KR"/>
          <w:b w:val="0"/>
          <w:i w:val="0"/>
          <w:sz w:val="20"/>
        </w:rPr>
        <w:t xml:space="preserve"> 또는 </w:t>
      </w:r>
      <w:r>
        <w:rPr>
          <w:rFonts w:ascii="Noto Sans KR" w:hAnsi="Noto Sans KR" w:eastAsia="Noto Sans KR"/>
          <w:b/>
          <w:i w:val="0"/>
          <w:sz w:val="20"/>
        </w:rPr>
        <w:t>메자닌/선순위 대출 제공자</w:t>
      </w:r>
      <w:r>
        <w:rPr>
          <w:rFonts w:ascii="Noto Sans KR" w:hAnsi="Noto Sans KR" w:eastAsia="Noto Sans KR"/>
          <w:b w:val="0"/>
          <w:i w:val="0"/>
          <w:sz w:val="20"/>
        </w:rPr>
        <w:t xml:space="preserve"> 포지션 검토 가능. 특히 텍사스·덴버 등 과공급 시장에서 2026~2027년 디스트레스 매물 파이프라인 모니터링을 강화할 것.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수집 기사 347건 중 주요 100건을 기반으로 작성되었습니다. 우미글로벌 해외사업팀 내부 전략 검토용으로만 활용하시기 바랍니다.*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9월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