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2026-09-28 ~ 2026-10-05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10월 05일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🇺🇸 미국 주거시장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기간: 2026년 9월 28일 ~ 10월 5일</w:t>
      </w:r>
      <w:r>
        <w:rPr>
          <w:rFonts w:ascii="Noto Sans KR" w:hAnsi="Noto Sans KR" w:eastAsia="Noto Sans KR"/>
          <w:b w:val="0"/>
          <w:i w:val="0"/>
          <w:sz w:val="20"/>
        </w:rPr>
        <w:t xml:space="preserve"> | 우미글로벌 해외사업팀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신규 착공 집중 — 선벨트·서부 권역 주도:</w:t>
      </w:r>
      <w:r>
        <w:rPr>
          <w:rFonts w:ascii="Noto Sans KR" w:hAnsi="Noto Sans KR" w:eastAsia="Noto Sans KR"/>
          <w:b w:val="0"/>
          <w:i w:val="0"/>
          <w:sz w:val="20"/>
        </w:rPr>
        <w:t xml:space="preserve"> Tempe(AZ)에서 Empire Group의 $288M·533유닛 Revelry 착공 및 Widewaters/Trammell Crow의 376유닛 개발 허가 신청이 동시 진행. St. Petersburg(FL)에서는 PTM Partners가 $125M 조달해 330유닛 Edge Collective II 착공. 휴스턴 인근 소규모 프로젝트($47M·HUD대출)까지 선벨트 중심 파이프라인 지속.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대형 공급 본격화:</w:t>
      </w:r>
      <w:r>
        <w:rPr>
          <w:rFonts w:ascii="Noto Sans KR" w:hAnsi="Noto Sans KR" w:eastAsia="Noto Sans KR"/>
          <w:b w:val="0"/>
          <w:i w:val="0"/>
          <w:sz w:val="20"/>
        </w:rPr>
        <w:t xml:space="preserve"> 애리조나大 1,300베드 기숙사 착공, Berkeley 2200 Bancroft Way 23층 학생주택 구조물 상승 중. Subtext는 이번 주에만 올랜도(626베드)·녹스빌(498베드) 등 2개 커뮤니티 오픈. Gilbane은 NC주 롤리에서 308유닛(7층) 시공 허가 확보.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Active Adult / 55+ 세그먼트 신규 착공 가시화:</w:t>
      </w:r>
      <w:r>
        <w:rPr>
          <w:rFonts w:ascii="Noto Sans KR" w:hAnsi="Noto Sans KR" w:eastAsia="Noto Sans KR"/>
          <w:b w:val="0"/>
          <w:i w:val="0"/>
          <w:sz w:val="20"/>
        </w:rPr>
        <w:t xml:space="preserve"> Garden Communities, 뉴저지 Parsippany에서 250유닛 Ballantine Greens 착공(전 컨트리 클럽 부지 재개발). 플로리다 Palm Coast에서는 Hillpointe가 264유닛 Workforce·Attainable 커뮤니티 그랜드오픈.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모듈화·대형화 추세:</w:t>
      </w:r>
      <w:r>
        <w:rPr>
          <w:rFonts w:ascii="Noto Sans KR" w:hAnsi="Noto Sans KR" w:eastAsia="Noto Sans KR"/>
          <w:b w:val="0"/>
          <w:i w:val="0"/>
          <w:sz w:val="20"/>
        </w:rPr>
        <w:t xml:space="preserve"> LA East Hollywood에서 모듈러 공법 적용 프로젝트 진행 중. Ann Arbor에서 Related Midwest가 20층·330유닛 저렴주택 착공. Glendale(CA)에서는 340유닛 규모 최대 어포더블 복합단지 완공.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퓨젯사운드(시애틀권) 파이프라인 리셋 경고:</w:t>
      </w:r>
      <w:r>
        <w:rPr>
          <w:rFonts w:ascii="Noto Sans KR" w:hAnsi="Noto Sans KR" w:eastAsia="Noto Sans KR"/>
          <w:b w:val="0"/>
          <w:i w:val="0"/>
          <w:sz w:val="20"/>
        </w:rPr>
        <w:t xml:space="preserve"> 상당수 개발사가 인허가 연장·보류 대신 프로젝트 공식 취소 선택. 고금리·공사비 부담이 대규모 도심 고층 프로젝트 실현가능성을 잠식 중(보스턴도 동일 패턴 확인).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국채금리 급등, CRE 시장 직격 — 10년물 5.3% 돌파:</w:t>
      </w:r>
      <w:r>
        <w:rPr>
          <w:rFonts w:ascii="Noto Sans KR" w:hAnsi="Noto Sans KR" w:eastAsia="Noto Sans KR"/>
          <w:b w:val="0"/>
          <w:i w:val="0"/>
          <w:sz w:val="20"/>
        </w:rPr>
        <w:t xml:space="preserve"> 9월 23일 기준 미 국채 금리 급등으로 건설 및 리파이낸싱 비용 상승. 복수의 렌더가 "Day of Reckoning(결산의 날)"이 임박했다고 경고. Multifamily CMBS 연체율 9월 35bp 급등(전 자산군 최대폭 상승).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RealPage 알고리즘 임대료 설정 금지법 — 법원 집행 정지:</w:t>
      </w:r>
      <w:r>
        <w:rPr>
          <w:rFonts w:ascii="Noto Sans KR" w:hAnsi="Noto Sans KR" w:eastAsia="Noto Sans KR"/>
          <w:b w:val="0"/>
          <w:i w:val="0"/>
          <w:sz w:val="20"/>
        </w:rPr>
        <w:t xml:space="preserve"> 뉴욕주 新법에 대해 연방법원이 예비적 금지명령(Preliminary Injunction) 인용, First Amendment 위반 여부 심리 중. 임대료 설정 소프트웨어 활용 업계에 한시적 숨통.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뉴욕市 Pied-à-Terre 세금·임대료 동결 법적 분쟁 지속:</w:t>
      </w:r>
      <w:r>
        <w:rPr>
          <w:rFonts w:ascii="Noto Sans KR" w:hAnsi="Noto Sans KR" w:eastAsia="Noto Sans KR"/>
          <w:b w:val="0"/>
          <w:i w:val="0"/>
          <w:sz w:val="20"/>
        </w:rPr>
        <w:t xml:space="preserve"> 스태튼아일랜드 판사가 Mamdani 시장의 단기 거주세 시행절차 위법 판결, 재추진 불투명. RGB(임대료위원회)와 시장실 간 사전 접촉 논란도 병행 중 — 뉴욕 임대차 규제 리스크 상존.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OZ 2.0 — DFW 90개 신규 기회특구 지정:</w:t>
      </w:r>
      <w:r>
        <w:rPr>
          <w:rFonts w:ascii="Noto Sans KR" w:hAnsi="Noto Sans KR" w:eastAsia="Noto Sans KR"/>
          <w:b w:val="0"/>
          <w:i w:val="0"/>
          <w:sz w:val="20"/>
        </w:rPr>
        <w:t xml:space="preserve"> 1차 OZ 프로그램이 DFW에만 $80억 유치한 데 이어 2차 프로그램 발동. "엄청난 자금(Enormous Money)" 유입 가능성으로 DFW 내 신규 개발·투자 수요 자극 예상.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건설비·자재비 변동성 구조적 고착화:</w:t>
      </w:r>
      <w:r>
        <w:rPr>
          <w:rFonts w:ascii="Noto Sans KR" w:hAnsi="Noto Sans KR" w:eastAsia="Noto Sans KR"/>
          <w:b w:val="0"/>
          <w:i w:val="0"/>
          <w:sz w:val="20"/>
        </w:rPr>
        <w:t xml:space="preserve"> 관세 정책·지정학적 긴장으로 철강·연료비 예측 불가. 개발사들이 GMP(최고금액보장계약) 대신 유연한 공사비 구조를 채택하는 추세. 보스턴 등 주요 도시에서 고층 멀티패밀리 신규 계획 사실상 중단.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— 대형 JV·리파이낸싱 집중:</w:t>
      </w:r>
      <w:r>
        <w:rPr>
          <w:rFonts w:ascii="Noto Sans KR" w:hAnsi="Noto Sans KR" w:eastAsia="Noto Sans KR"/>
          <w:b w:val="0"/>
          <w:i w:val="0"/>
          <w:sz w:val="20"/>
        </w:rPr>
        <w:t xml:space="preserve"> Brookfield Properties JV, 학생주택 포트폴리오 대상 </w:t>
      </w:r>
      <w:r>
        <w:rPr>
          <w:rFonts w:ascii="Noto Sans KR" w:hAnsi="Noto Sans KR" w:eastAsia="Noto Sans KR"/>
          <w:b/>
          <w:i w:val="0"/>
          <w:sz w:val="20"/>
        </w:rPr>
        <w:t>$14억 리파이낸싱</w:t>
      </w:r>
      <w:r>
        <w:rPr>
          <w:rFonts w:ascii="Noto Sans KR" w:hAnsi="Noto Sans KR" w:eastAsia="Noto Sans KR"/>
          <w:b w:val="0"/>
          <w:i w:val="0"/>
          <w:sz w:val="20"/>
        </w:rPr>
        <w:t xml:space="preserve"> 성사(금주 최대 단건). Terrazul 커뮤니티 $1.8억 리파이낸싱, LaSalle Investment이 산호세주립大 인근 482베드 매입. Kennesaw State 인근 학생주택은 $4,250만에 거래 완료.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매각·리파이낸싱 활발 — 플로리다·콜로라도 주도:</w:t>
      </w:r>
      <w:r>
        <w:rPr>
          <w:rFonts w:ascii="Noto Sans KR" w:hAnsi="Noto Sans KR" w:eastAsia="Noto Sans KR"/>
          <w:b w:val="0"/>
          <w:i w:val="0"/>
          <w:sz w:val="20"/>
        </w:rPr>
        <w:t xml:space="preserve"> Walker &amp; Dunlop, 마이애미 Doral 631유닛 Landmark South 대상 </w:t>
      </w:r>
      <w:r>
        <w:rPr>
          <w:rFonts w:ascii="Noto Sans KR" w:hAnsi="Noto Sans KR" w:eastAsia="Noto Sans KR"/>
          <w:b/>
          <w:i w:val="0"/>
          <w:sz w:val="20"/>
        </w:rPr>
        <w:t>$2.38억 리파이낸싱</w:t>
      </w:r>
      <w:r>
        <w:rPr>
          <w:rFonts w:ascii="Noto Sans KR" w:hAnsi="Noto Sans KR" w:eastAsia="Noto Sans KR"/>
          <w:b w:val="0"/>
          <w:i w:val="0"/>
          <w:sz w:val="20"/>
        </w:rPr>
        <w:t xml:space="preserve"> 주선. JLL, 덴버 400유닛 Griffis Union Station $8,605만 대출 주선. 샌러몬(CA) 200유닛 아파트는 15년 보유 후 $7,800만($390K/유닛)에 매각.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세그먼트 — 피닉스 중심 정리 거래:</w:t>
      </w:r>
      <w:r>
        <w:rPr>
          <w:rFonts w:ascii="Noto Sans KR" w:hAnsi="Noto Sans KR" w:eastAsia="Noto Sans KR"/>
          <w:b w:val="0"/>
          <w:i w:val="0"/>
          <w:sz w:val="20"/>
        </w:rPr>
        <w:t xml:space="preserve"> ACORE Capital, 필라델피아 멀티패밀리 포트폴리오 $8,100만 브릿지론 제공. Värde Partners, 피닉스 BTR 커뮤니티 Village at Sonoran Vista $6,550만 리파이낸싱 클로징.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기관 매각 및 포트폴리오 청산:</w:t>
      </w:r>
      <w:r>
        <w:rPr>
          <w:rFonts w:ascii="Noto Sans KR" w:hAnsi="Noto Sans KR" w:eastAsia="Noto Sans KR"/>
          <w:b w:val="0"/>
          <w:i w:val="0"/>
          <w:sz w:val="20"/>
        </w:rPr>
        <w:t xml:space="preserve"> Elme REIT, 보유 자산 전량 매각 완료·상장 폐지 절차 착수(11월 5일). Alcion/Slate JV, 맨해튼 Union Square 인근 임대아파트 손실 매각. 피닉스 191유닛 The Astor at Osborn $4,780만에 거래.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AI 테크 M&amp;A 등장:</w:t>
      </w:r>
      <w:r>
        <w:rPr>
          <w:rFonts w:ascii="Noto Sans KR" w:hAnsi="Noto Sans KR" w:eastAsia="Noto Sans KR"/>
          <w:b w:val="0"/>
          <w:i w:val="0"/>
          <w:sz w:val="20"/>
        </w:rPr>
        <w:t xml:space="preserve"> 멀티패밀리 운영 플랫폼 Venn이 AI 에이전틱 리싱 기업 Zuma를 </w:t>
      </w:r>
      <w:r>
        <w:rPr>
          <w:rFonts w:ascii="Noto Sans KR" w:hAnsi="Noto Sans KR" w:eastAsia="Noto Sans KR"/>
          <w:b/>
          <w:i w:val="0"/>
          <w:sz w:val="20"/>
        </w:rPr>
        <w:t>$5,000만</w:t>
      </w:r>
      <w:r>
        <w:rPr>
          <w:rFonts w:ascii="Noto Sans KR" w:hAnsi="Noto Sans KR" w:eastAsia="Noto Sans KR"/>
          <w:b w:val="0"/>
          <w:i w:val="0"/>
          <w:sz w:val="20"/>
        </w:rPr>
        <w:t>에 인수 — 임대 운영 자동화 경쟁 본격화.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BTR·Student Housing은 현 시장에서 가장 유효한 진입 세그먼트:</w:t>
      </w:r>
      <w:r>
        <w:rPr>
          <w:rFonts w:ascii="Noto Sans KR" w:hAnsi="Noto Sans KR" w:eastAsia="Noto Sans KR"/>
          <w:b w:val="0"/>
          <w:i w:val="0"/>
          <w:sz w:val="20"/>
        </w:rPr>
        <w:t xml:space="preserve"> 고금리·공사비 부담으로 일반 Multifamily 신규 착공이 둔화되는 가운데, Student Housing(수요 구조적·공급 제한적)과 BTR(단독주택 대체 수요)은 거래·파이낸싱 모두 활발. 우미글로벌은 Brookfield·LaSalle 등 기관이 활발히 움직이는 </w:t>
      </w:r>
      <w:r>
        <w:rPr>
          <w:rFonts w:ascii="Noto Sans KR" w:hAnsi="Noto Sans KR" w:eastAsia="Noto Sans KR"/>
          <w:b/>
          <w:i w:val="0"/>
          <w:sz w:val="20"/>
        </w:rPr>
        <w:t>학생주택 포트폴리오 JV 공동투자 기회</w:t>
      </w:r>
      <w:r>
        <w:rPr>
          <w:rFonts w:ascii="Noto Sans KR" w:hAnsi="Noto Sans KR" w:eastAsia="Noto Sans KR"/>
          <w:b w:val="0"/>
          <w:i w:val="0"/>
          <w:sz w:val="20"/>
        </w:rPr>
        <w:t>를 우선 검토할 것을 권고.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선벨트(피닉스·탬피·마이애미·DFW) 집중 모니터링 필요:</w:t>
      </w:r>
      <w:r>
        <w:rPr>
          <w:rFonts w:ascii="Noto Sans KR" w:hAnsi="Noto Sans KR" w:eastAsia="Noto Sans KR"/>
          <w:b w:val="0"/>
          <w:i w:val="0"/>
          <w:sz w:val="20"/>
        </w:rPr>
        <w:t xml:space="preserve"> OZ 2.0 지정, 지속적인 인구 유입, 상대적으로 낮은 규제 리스크를 고려할 때 우미글로벌의 파트너십 대상 GP 발굴 지역으로 적합. 특히 </w:t>
      </w:r>
      <w:r>
        <w:rPr>
          <w:rFonts w:ascii="Noto Sans KR" w:hAnsi="Noto Sans KR" w:eastAsia="Noto Sans KR"/>
          <w:b/>
          <w:i w:val="0"/>
          <w:sz w:val="20"/>
        </w:rPr>
        <w:t>DFW OZ 2.0 구역</w:t>
      </w:r>
      <w:r>
        <w:rPr>
          <w:rFonts w:ascii="Noto Sans KR" w:hAnsi="Noto Sans KR" w:eastAsia="Noto Sans KR"/>
          <w:b w:val="0"/>
          <w:i w:val="0"/>
          <w:sz w:val="20"/>
        </w:rPr>
        <w:t xml:space="preserve"> 내 Multifamily·Affordable 복합 개발 공동 GP 구조 검토 권장.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GP 파트너십 시 '자본조달 역량' 차별화 전략 유효:</w:t>
      </w:r>
      <w:r>
        <w:rPr>
          <w:rFonts w:ascii="Noto Sans KR" w:hAnsi="Noto Sans KR" w:eastAsia="Noto Sans KR"/>
          <w:b w:val="0"/>
          <w:i w:val="0"/>
          <w:sz w:val="20"/>
        </w:rPr>
        <w:t xml:space="preserve"> 고금리로 국내 자본이 이탈하는 상황에서 브릿지론·메자닌 조달이 어려운 미국 중형 개발사 다수 존재. 우미글로벌의 한국계 기관자본 연결 능력을 레버리지 삼아 </w:t>
      </w:r>
      <w:r>
        <w:rPr>
          <w:rFonts w:ascii="Noto Sans KR" w:hAnsi="Noto Sans KR" w:eastAsia="Noto Sans KR"/>
          <w:b/>
          <w:i w:val="0"/>
          <w:sz w:val="20"/>
        </w:rPr>
        <w:t>크레딧 파트너 또는 메자닌 LP</w:t>
      </w:r>
      <w:r>
        <w:rPr>
          <w:rFonts w:ascii="Noto Sans KR" w:hAnsi="Noto Sans KR" w:eastAsia="Noto Sans KR"/>
          <w:b w:val="0"/>
          <w:i w:val="0"/>
          <w:sz w:val="20"/>
        </w:rPr>
        <w:t xml:space="preserve"> 포지션으로 진입하면 진입 밸류에이션 협상력 확보 가능.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시장 리셋 구간 = 포트폴리오 매입 적기 포착:</w:t>
      </w:r>
      <w:r>
        <w:rPr>
          <w:rFonts w:ascii="Noto Sans KR" w:hAnsi="Noto Sans KR" w:eastAsia="Noto Sans KR"/>
          <w:b w:val="0"/>
          <w:i w:val="0"/>
          <w:sz w:val="20"/>
        </w:rPr>
        <w:t xml:space="preserve"> Elme REIT 청산, Alcion/Slate 손실 매각 등 기존 보유자의 Exit 압력이 커지는 국면. Active Adult·Senior Living은 공급 부족+점유율 90% 초과로 캡레이트 압박이 없어, </w:t>
      </w:r>
      <w:r>
        <w:rPr>
          <w:rFonts w:ascii="Noto Sans KR" w:hAnsi="Noto Sans KR" w:eastAsia="Noto Sans KR"/>
          <w:b/>
          <w:i w:val="0"/>
          <w:sz w:val="20"/>
        </w:rPr>
        <w:t>55+ 커뮤니티 기존 자산 매입</w:t>
      </w:r>
      <w:r>
        <w:rPr>
          <w:rFonts w:ascii="Noto Sans KR" w:hAnsi="Noto Sans KR" w:eastAsia="Noto Sans KR"/>
          <w:b w:val="0"/>
          <w:i w:val="0"/>
          <w:sz w:val="20"/>
        </w:rPr>
        <w:t xml:space="preserve"> 후 리파이낸싱·밸류애드 전략 검토 적기.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공개 뉴스 기사 100건 기반으로 작성되었으며, 투자 결정의 최종 판단 근거로 단독 활용을 지양합니다.*</w:t>
      </w:r>
    </w:p>
    <w:p>
      <w:r>
        <w:rPr>
          <w:rFonts w:ascii="Noto Sans KR" w:hAnsi="Noto Sans KR" w:eastAsia="Noto Sans KR"/>
          <w:b w:val="0"/>
          <w:i w:val="0"/>
          <w:sz w:val="20"/>
        </w:rPr>
        <w:t>*작성: 우미글로벌 해외사업팀 미국 주거시장 리서치 | 2026년 10월 5일*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10월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