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Noto Sans KR" w:hAnsi="Noto Sans KR" w:eastAsia="Noto Sans KR"/>
          <w:b/>
          <w:i w:val="0"/>
          <w:color w:val="1B3A5C"/>
          <w:sz w:val="32"/>
        </w:rPr>
        <w:t>우미글로벌 해외사업팀</w:t>
      </w:r>
    </w:p>
    <w:p/>
    <w:p>
      <w:pPr>
        <w:jc w:val="center"/>
      </w:pPr>
      <w:r>
        <w:rPr>
          <w:rFonts w:ascii="Noto Sans KR" w:hAnsi="Noto Sans KR" w:eastAsia="Noto Sans KR"/>
          <w:b/>
          <w:i w:val="0"/>
          <w:sz w:val="40"/>
        </w:rPr>
        <w:t>미국 주거시장 주간 인텔리전스 리포트</w:t>
      </w:r>
    </w:p>
    <w:p/>
    <w:p>
      <w:pPr>
        <w:jc w:val="center"/>
      </w:pPr>
      <w:r>
        <w:rPr>
          <w:rFonts w:ascii="Noto Sans KR" w:hAnsi="Noto Sans KR" w:eastAsia="Noto Sans KR"/>
          <w:b w:val="0"/>
          <w:i w:val="0"/>
          <w:color w:val="999999"/>
          <w:sz w:val="20"/>
        </w:rPr>
        <w:t>기간: 2026-10-05 ~ 2026-10-12</w:t>
      </w:r>
    </w:p>
    <w:p/>
    <w:p>
      <w:pPr>
        <w:jc w:val="center"/>
      </w:pPr>
      <w:r>
        <w:rPr>
          <w:rFonts w:ascii="Noto Sans KR" w:hAnsi="Noto Sans KR" w:eastAsia="Noto Sans KR"/>
          <w:b w:val="0"/>
          <w:i w:val="0"/>
          <w:color w:val="999999"/>
          <w:sz w:val="20"/>
        </w:rPr>
        <w:t>작성일: 2026년 10월 12일  |  해외사업팀</w:t>
      </w:r>
    </w:p>
    <w:p>
      <w:r>
        <w:br w:type="page"/>
      </w:r>
    </w:p>
    <w:p>
      <w:pPr>
        <w:pBdr>
          <w:bottom w:val="single" w:sz="4" w:space="1" w:color="1B3A5C"/>
        </w:pBdr>
      </w:pPr>
      <w:r>
        <w:rPr>
          <w:rFonts w:ascii="Noto Sans KR" w:hAnsi="Noto Sans KR" w:eastAsia="Noto Sans KR"/>
          <w:b/>
          <w:i w:val="0"/>
          <w:color w:val="1B3A5C"/>
          <w:sz w:val="28"/>
        </w:rPr>
        <w:t>🏠 미국 주거시장 인텔리전스 리포트</w:t>
      </w:r>
    </w:p>
    <w:p>
      <w:r>
        <w:rPr>
          <w:rFonts w:ascii="Noto Sans KR" w:hAnsi="Noto Sans KR" w:eastAsia="Noto Sans KR"/>
          <w:b/>
          <w:i w:val="0"/>
          <w:sz w:val="20"/>
        </w:rPr>
        <w:t>우미글로벌 해외사업팀 | 2026.10.05 ~ 10.12</w:t>
      </w:r>
    </w:p>
    <w:p>
      <w:pPr>
        <w:pBdr>
          <w:bottom w:val="single" w:sz="4" w:space="1" w:color="1B3A5C"/>
        </w:pBdr>
      </w:pPr>
    </w:p>
    <w:p/>
    <w:p>
      <w:pPr>
        <w:pBdr>
          <w:bottom w:val="single" w:sz="4" w:space="1" w:color="2E75B6"/>
        </w:pBdr>
      </w:pPr>
      <w:r>
        <w:rPr>
          <w:rFonts w:ascii="Noto Sans KR" w:hAnsi="Noto Sans KR" w:eastAsia="Noto Sans KR"/>
          <w:b/>
          <w:i w:val="0"/>
          <w:color w:val="2E75B6"/>
          <w:sz w:val="26"/>
        </w:rPr>
        <w:t>1. 개발 현황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Student Housing 공급 가속화</w:t>
      </w:r>
      <w:r>
        <w:rPr>
          <w:rFonts w:ascii="Noto Sans KR" w:hAnsi="Noto Sans KR" w:eastAsia="Noto Sans KR"/>
          <w:b w:val="0"/>
          <w:i w:val="0"/>
          <w:sz w:val="20"/>
        </w:rPr>
        <w:t>: Oregon State University 인근 Fields Holdings의 13층·262유닛 Zev Corvallis($94.8M 착공), University of Michigan 캠퍼스 인근 13층 고층 계획, Landmark Properties의 필라델피아 The Mark 준공, Subtext의 오를란도 VERVE 626베드 오픈 등 주요 대학도시 중심 공급이 동시다발적으로 진행 중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대형 Multifamily 착공 잇달아</w:t>
      </w:r>
      <w:r>
        <w:rPr>
          <w:rFonts w:ascii="Noto Sans KR" w:hAnsi="Noto Sans KR" w:eastAsia="Noto Sans KR"/>
          <w:b w:val="0"/>
          <w:i w:val="0"/>
          <w:sz w:val="20"/>
        </w:rPr>
        <w:t>: OHT Partners의 텍사스 오스틴 402유닛(8956 W. HWY 71), Empire Group의 템피 15층 2개동 $288M 고급 타워, Hunington Properties의 케이티(텍사스) 279유닛 HUD 파이낸싱 착공, Yonkers Ridge Hill 282유닛 JV 착공 등 선벨트·도시권 공급 지속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오피스→주거 전환(Conversion) 트렌드</w:t>
      </w:r>
      <w:r>
        <w:rPr>
          <w:rFonts w:ascii="Noto Sans KR" w:hAnsi="Noto Sans KR" w:eastAsia="Noto Sans KR"/>
          <w:b w:val="0"/>
          <w:i w:val="0"/>
          <w:sz w:val="20"/>
        </w:rPr>
        <w:t>: 보스턴 Downtown 31 Milk St.($44M), 워싱턴 D.C. 342,000SF 오피스빌딩(323유닛) 등 적응형 재활용(Adaptive Reuse) 프로젝트 증가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어포더블·Workforce Housing 활발</w:t>
      </w:r>
      <w:r>
        <w:rPr>
          <w:rFonts w:ascii="Noto Sans KR" w:hAnsi="Noto Sans KR" w:eastAsia="Noto Sans KR"/>
          <w:b w:val="0"/>
          <w:i w:val="0"/>
          <w:sz w:val="20"/>
        </w:rPr>
        <w:t>: 마이애미 Gallery at Lummus Parc 257유닛($167.1M), LA 차이나타운 800 N. Main St., 인글우드 400 Centinela Ave., 팜코스트(플로리다) Pointe Grand Town Center 264유닛 준공 등 캘리포니아·플로리다 중심 공급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서부 해안 고층 계획 증가</w:t>
      </w:r>
      <w:r>
        <w:rPr>
          <w:rFonts w:ascii="Noto Sans KR" w:hAnsi="Noto Sans KR" w:eastAsia="Noto Sans KR"/>
          <w:b w:val="0"/>
          <w:i w:val="0"/>
          <w:sz w:val="20"/>
        </w:rPr>
        <w:t>: 산타모니카·베벌리힐스·SF SoMa 21층(~300유닛)·SF 1601 Mission 45층 등 캘리포니아 주요 도심에 대형 인허가 신청 잇따름</w:t>
      </w:r>
    </w:p>
    <w:p>
      <w:pPr>
        <w:pBdr>
          <w:bottom w:val="single" w:sz="4" w:space="1" w:color="1B3A5C"/>
        </w:pBdr>
      </w:pPr>
    </w:p>
    <w:p/>
    <w:p>
      <w:pPr>
        <w:pBdr>
          <w:bottom w:val="single" w:sz="4" w:space="1" w:color="2E75B6"/>
        </w:pBdr>
      </w:pPr>
      <w:r>
        <w:rPr>
          <w:rFonts w:ascii="Noto Sans KR" w:hAnsi="Noto Sans KR" w:eastAsia="Noto Sans KR"/>
          <w:b/>
          <w:i w:val="0"/>
          <w:color w:val="2E75B6"/>
          <w:sz w:val="26"/>
        </w:rPr>
        <w:t>2. 정책·이슈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Fed 금리 인상 기조 재확인</w:t>
      </w:r>
      <w:r>
        <w:rPr>
          <w:rFonts w:ascii="Noto Sans KR" w:hAnsi="Noto Sans KR" w:eastAsia="Noto Sans KR"/>
          <w:b w:val="0"/>
          <w:i w:val="0"/>
          <w:sz w:val="20"/>
        </w:rPr>
        <w:t>: 9월 15~16일 FOMC 의사록 공개 및 이코노미스트 Peter Linneman의 금리 인하 전망 후퇴 발언이 시장에 충격 — "투자자들은 금리 인하를 기다리는 것을 멈춰야 할 수도 있다"는 경고가 나왔으며, 이는 NYC 멀티패밀리 투자 수익성 재계산을 강요하고 있음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캘리포니아 주거법 개혁 패키지 통과</w:t>
      </w:r>
      <w:r>
        <w:rPr>
          <w:rFonts w:ascii="Noto Sans KR" w:hAnsi="Noto Sans KR" w:eastAsia="Noto Sans KR"/>
          <w:b w:val="0"/>
          <w:i w:val="0"/>
          <w:sz w:val="20"/>
        </w:rPr>
        <w:t>: ADU 비용 절감, '미싱 미들(Missing Middle)' 주택 허용 확대, 교통요지 고층 개발 허용 등 다층적 주거공급 촉진법이 시행 — 당장의 파이프라인 확대 효과 예상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연방 규제 완화 움직임(HUD·USDA)</w:t>
      </w:r>
      <w:r>
        <w:rPr>
          <w:rFonts w:ascii="Noto Sans KR" w:hAnsi="Noto Sans KR" w:eastAsia="Noto Sans KR"/>
          <w:b w:val="0"/>
          <w:i w:val="0"/>
          <w:sz w:val="20"/>
        </w:rPr>
        <w:t>: 21st Century ROAD to Housing Act 이행의 일환으로 HUD·USDA가 농촌주택 환경심사 기준 간소화 MOU 체결 → 저소득·농촌 주택 개발 비용·기간 단축 기대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NYC 세금 인센티브(421-a 후속) 한계 노출</w:t>
      </w:r>
      <w:r>
        <w:rPr>
          <w:rFonts w:ascii="Noto Sans KR" w:hAnsi="Noto Sans KR" w:eastAsia="Noto Sans KR"/>
          <w:b w:val="0"/>
          <w:i w:val="0"/>
          <w:sz w:val="20"/>
        </w:rPr>
        <w:t>: 유닛 수 임계치 회피를 위해 멀티패밀리를 분리 콘도로 쪼개는 편법 구조가 확산 — 세제 혜택 설계의 구조적 허점이 공론화됨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덴버 건설비 상승</w:t>
      </w:r>
      <w:r>
        <w:rPr>
          <w:rFonts w:ascii="Noto Sans KR" w:hAnsi="Noto Sans KR" w:eastAsia="Noto Sans KR"/>
          <w:b w:val="0"/>
          <w:i w:val="0"/>
          <w:sz w:val="20"/>
        </w:rPr>
        <w:t>: YOY 4.6% 상승으로 전국 평균을 초과 — 선벨트 및 산악 지역 신규 개발의 수익성에 하방 압력</w:t>
      </w:r>
    </w:p>
    <w:p>
      <w:pPr>
        <w:pBdr>
          <w:bottom w:val="single" w:sz="4" w:space="1" w:color="1B3A5C"/>
        </w:pBdr>
      </w:pPr>
    </w:p>
    <w:p/>
    <w:p>
      <w:pPr>
        <w:pBdr>
          <w:bottom w:val="single" w:sz="4" w:space="1" w:color="2E75B6"/>
        </w:pBdr>
      </w:pPr>
      <w:r>
        <w:rPr>
          <w:rFonts w:ascii="Noto Sans KR" w:hAnsi="Noto Sans KR" w:eastAsia="Noto Sans KR"/>
          <w:b/>
          <w:i w:val="0"/>
          <w:color w:val="2E75B6"/>
          <w:sz w:val="26"/>
        </w:rPr>
        <w:t>3. 거래현황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대형 포트폴리오 리파이낸싱 급증</w:t>
      </w:r>
      <w:r>
        <w:rPr>
          <w:rFonts w:ascii="Noto Sans KR" w:hAnsi="Noto Sans KR" w:eastAsia="Noto Sans KR"/>
          <w:b w:val="0"/>
          <w:i w:val="0"/>
          <w:sz w:val="20"/>
        </w:rPr>
        <w:t>: Walker &amp; Dunlop의 IMT Capital 9개 멀티패밀리 Fannie Mae 리파이낸싱 $630.6M, JSB Capital Group의 마이애미 Doral 631유닛 $238M, 하렘 Lenox Terrace $170.5M, JLL의 플로리다 2개 멀티패밀리 포트폴리오 $100M 브릿지론 등 대형 리파이낸싱이 주간 최대 자본 흐름을 형성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Student Housing 대형 M&amp;A</w:t>
      </w:r>
      <w:r>
        <w:rPr>
          <w:rFonts w:ascii="Noto Sans KR" w:hAnsi="Noto Sans KR" w:eastAsia="Noto Sans KR"/>
          <w:b w:val="0"/>
          <w:i w:val="0"/>
          <w:sz w:val="20"/>
        </w:rPr>
        <w:t xml:space="preserve">: Brookfield + Coastal Ridge가 산호세 학생기숙사 타워를 </w:t>
      </w:r>
      <w:r>
        <w:rPr>
          <w:rFonts w:ascii="Noto Sans KR" w:hAnsi="Noto Sans KR" w:eastAsia="Noto Sans KR"/>
          <w:b/>
          <w:i w:val="0"/>
          <w:sz w:val="20"/>
        </w:rPr>
        <w:t>$204~205M</w:t>
      </w:r>
      <w:r>
        <w:rPr>
          <w:rFonts w:ascii="Noto Sans KR" w:hAnsi="Noto Sans KR" w:eastAsia="Noto Sans KR"/>
          <w:b w:val="0"/>
          <w:i w:val="0"/>
          <w:sz w:val="20"/>
        </w:rPr>
        <w:t>에 인수 — 리파이낸싱 난항이 강제 매각으로 이어진 사례로, 레버리지 구조 리스크가 현실화된 대표 케이스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글로벌 자본 미국 멀티패밀리 확대</w:t>
      </w:r>
      <w:r>
        <w:rPr>
          <w:rFonts w:ascii="Noto Sans KR" w:hAnsi="Noto Sans KR" w:eastAsia="Noto Sans KR"/>
          <w:b w:val="0"/>
          <w:i w:val="0"/>
          <w:sz w:val="20"/>
        </w:rPr>
        <w:t xml:space="preserve">: 영국 최대 자산운용사 </w:t>
      </w:r>
      <w:r>
        <w:rPr>
          <w:rFonts w:ascii="Noto Sans KR" w:hAnsi="Noto Sans KR" w:eastAsia="Noto Sans KR"/>
          <w:b/>
          <w:i w:val="0"/>
          <w:sz w:val="20"/>
        </w:rPr>
        <w:t>L&amp;G(Legal &amp; General)</w:t>
      </w:r>
      <w:r>
        <w:rPr>
          <w:rFonts w:ascii="Noto Sans KR" w:hAnsi="Noto Sans KR" w:eastAsia="Noto Sans KR"/>
          <w:b w:val="0"/>
          <w:i w:val="0"/>
          <w:sz w:val="20"/>
        </w:rPr>
        <w:t xml:space="preserve"> 가 매사추세츠 멀티패밀리 개발 투자 후 추가 확장 의지 공식화 — 해외 기관자본의 미국 주거시장 진입 가속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Hines REIT, 멀티패밀리 집중 매입</w:t>
      </w:r>
      <w:r>
        <w:rPr>
          <w:rFonts w:ascii="Noto Sans KR" w:hAnsi="Noto Sans KR" w:eastAsia="Noto Sans KR"/>
          <w:b w:val="0"/>
          <w:i w:val="0"/>
          <w:sz w:val="20"/>
        </w:rPr>
        <w:t xml:space="preserve">: Hines Global Income Trust가 달라스 Bishop Arts 혼합용도 포트폴리오 </w:t>
      </w:r>
      <w:r>
        <w:rPr>
          <w:rFonts w:ascii="Noto Sans KR" w:hAnsi="Noto Sans KR" w:eastAsia="Noto Sans KR"/>
          <w:b/>
          <w:i w:val="0"/>
          <w:sz w:val="20"/>
        </w:rPr>
        <w:t>$170.5M</w:t>
      </w:r>
      <w:r>
        <w:rPr>
          <w:rFonts w:ascii="Noto Sans KR" w:hAnsi="Noto Sans KR" w:eastAsia="Noto Sans KR"/>
          <w:b w:val="0"/>
          <w:i w:val="0"/>
          <w:sz w:val="20"/>
        </w:rPr>
        <w:t xml:space="preserve">, 애틀랜타 Buckhead 312유닛 </w:t>
      </w:r>
      <w:r>
        <w:rPr>
          <w:rFonts w:ascii="Noto Sans KR" w:hAnsi="Noto Sans KR" w:eastAsia="Noto Sans KR"/>
          <w:b/>
          <w:i w:val="0"/>
          <w:sz w:val="20"/>
        </w:rPr>
        <w:t>$237.8M</w:t>
      </w:r>
      <w:r>
        <w:rPr>
          <w:rFonts w:ascii="Noto Sans KR" w:hAnsi="Noto Sans KR" w:eastAsia="Noto Sans KR"/>
          <w:b w:val="0"/>
          <w:i w:val="0"/>
          <w:sz w:val="20"/>
        </w:rPr>
        <w:t xml:space="preserve"> 인수 — 단주간 약 $408M 집행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Senior Living 대형 M&amp;A</w:t>
      </w:r>
      <w:r>
        <w:rPr>
          <w:rFonts w:ascii="Noto Sans KR" w:hAnsi="Noto Sans KR" w:eastAsia="Noto Sans KR"/>
          <w:b w:val="0"/>
          <w:i w:val="0"/>
          <w:sz w:val="20"/>
        </w:rPr>
        <w:t xml:space="preserve">: BDT &amp; MSD Partners가 Sunrise Senior Living을 </w:t>
      </w:r>
      <w:r>
        <w:rPr>
          <w:rFonts w:ascii="Noto Sans KR" w:hAnsi="Noto Sans KR" w:eastAsia="Noto Sans KR"/>
          <w:b/>
          <w:i w:val="0"/>
          <w:sz w:val="20"/>
        </w:rPr>
        <w:t>약 $1B</w:t>
      </w:r>
      <w:r>
        <w:rPr>
          <w:rFonts w:ascii="Noto Sans KR" w:hAnsi="Noto Sans KR" w:eastAsia="Noto Sans KR"/>
          <w:b w:val="0"/>
          <w:i w:val="0"/>
          <w:sz w:val="20"/>
        </w:rPr>
        <w:t>에 인수 합의 — 고령화 주거자산의 기관급 M&amp;A가 본격화되고 있음을 시사; JLL의 남가주 시니어 포트폴리오 리파이낸싱 $276M도 병행</w:t>
      </w:r>
    </w:p>
    <w:p>
      <w:pPr>
        <w:pBdr>
          <w:bottom w:val="single" w:sz="4" w:space="1" w:color="1B3A5C"/>
        </w:pBdr>
      </w:pPr>
    </w:p>
    <w:p/>
    <w:p>
      <w:pPr>
        <w:pBdr>
          <w:bottom w:val="single" w:sz="4" w:space="1" w:color="2E75B6"/>
        </w:pBdr>
      </w:pPr>
      <w:r>
        <w:rPr>
          <w:rFonts w:ascii="Noto Sans KR" w:hAnsi="Noto Sans KR" w:eastAsia="Noto Sans KR"/>
          <w:b/>
          <w:i w:val="0"/>
          <w:color w:val="2E75B6"/>
          <w:sz w:val="26"/>
        </w:rPr>
        <w:t>4. 시사점 (우미글로벌 관점)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Student Housing은 핵심 진입 섹터</w:t>
      </w:r>
      <w:r>
        <w:rPr>
          <w:rFonts w:ascii="Noto Sans KR" w:hAnsi="Noto Sans KR" w:eastAsia="Noto Sans KR"/>
          <w:b w:val="0"/>
          <w:i w:val="0"/>
          <w:sz w:val="20"/>
        </w:rPr>
        <w:t xml:space="preserve">: Oregon State, University of Michigan, SJSU, Temple Univ. 등 주요 대학 인근에서 $95~205M 규모 거래·착공이 집중되고 있으며, Brookfield·Affinius 등 기관 자본이 경쟁적으로 진입 중. 우미글로벌은 </w:t>
      </w:r>
      <w:r>
        <w:rPr>
          <w:rFonts w:ascii="Noto Sans KR" w:hAnsi="Noto Sans KR" w:eastAsia="Noto Sans KR"/>
          <w:b/>
          <w:i w:val="0"/>
          <w:sz w:val="20"/>
        </w:rPr>
        <w:t>대학 등록자 수 증가 + 공급 부족 시장(SLC, 앤아버, 오스틴 등)을 중심으로 Fields Holdings·Subtext·Northwood Ravin 등 전문 오퍼레이터와의 공동투자(Co-GP) 구조</w:t>
      </w:r>
      <w:r>
        <w:rPr>
          <w:rFonts w:ascii="Noto Sans KR" w:hAnsi="Noto Sans KR" w:eastAsia="Noto Sans KR"/>
          <w:b w:val="0"/>
          <w:i w:val="0"/>
          <w:sz w:val="20"/>
        </w:rPr>
        <w:t xml:space="preserve"> 검토를 우선 추진할 것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BTR 파이프라인 선점 기회</w:t>
      </w:r>
      <w:r>
        <w:rPr>
          <w:rFonts w:ascii="Noto Sans KR" w:hAnsi="Noto Sans KR" w:eastAsia="Noto Sans KR"/>
          <w:b w:val="0"/>
          <w:i w:val="0"/>
          <w:sz w:val="20"/>
        </w:rPr>
        <w:t xml:space="preserve">: Värde Partners의 피닉스 BTR $65.5M 리파이낸싱 사례처럼 신규 준공 BTR의 안정화 이후 리파이낸싱 수요가 늘고 있음. 한국 기관자본(연기금·공제회)의 달러 투자 수요와 연계한 </w:t>
      </w:r>
      <w:r>
        <w:rPr>
          <w:rFonts w:ascii="Noto Sans KR" w:hAnsi="Noto Sans KR" w:eastAsia="Noto Sans KR"/>
          <w:b/>
          <w:i w:val="0"/>
          <w:sz w:val="20"/>
        </w:rPr>
        <w:t>안정화 완료 BTR 포트폴리오 매입 + 한국 LP 모집</w:t>
      </w:r>
      <w:r>
        <w:rPr>
          <w:rFonts w:ascii="Noto Sans KR" w:hAnsi="Noto Sans KR" w:eastAsia="Noto Sans KR"/>
          <w:b w:val="0"/>
          <w:i w:val="0"/>
          <w:sz w:val="20"/>
        </w:rPr>
        <w:t xml:space="preserve"> 구조는 실현 가능성이 높음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글로벌 자본 경쟁 심화 전 포지셔닝 필요</w:t>
      </w:r>
      <w:r>
        <w:rPr>
          <w:rFonts w:ascii="Noto Sans KR" w:hAnsi="Noto Sans KR" w:eastAsia="Noto Sans KR"/>
          <w:b w:val="0"/>
          <w:i w:val="0"/>
          <w:sz w:val="20"/>
        </w:rPr>
        <w:t xml:space="preserve">: L&amp;G(영국), Brookfield(캐나다), Hines REIT 등 대형 글로벌 자본이 미국 주거 섹터에 집중하고 있어, 우미글로벌은 </w:t>
      </w:r>
      <w:r>
        <w:rPr>
          <w:rFonts w:ascii="Noto Sans KR" w:hAnsi="Noto Sans KR" w:eastAsia="Noto Sans KR"/>
          <w:b/>
          <w:i w:val="0"/>
          <w:sz w:val="20"/>
        </w:rPr>
        <w:t>규모 경쟁보다 틈새 시장(Workforce·Affordable 연계 세제혜택 구조, 중소 대학도시 Student Housing)에서 선점적 GP 관계 구축</w:t>
      </w:r>
      <w:r>
        <w:rPr>
          <w:rFonts w:ascii="Noto Sans KR" w:hAnsi="Noto Sans KR" w:eastAsia="Noto Sans KR"/>
          <w:b w:val="0"/>
          <w:i w:val="0"/>
          <w:sz w:val="20"/>
        </w:rPr>
        <w:t>이 시급함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금리 고착화 국면에서 브릿지론 오퍼레이터 디스트레스 모니터링</w:t>
      </w:r>
      <w:r>
        <w:rPr>
          <w:rFonts w:ascii="Noto Sans KR" w:hAnsi="Noto Sans KR" w:eastAsia="Noto Sans KR"/>
          <w:b w:val="0"/>
          <w:i w:val="0"/>
          <w:sz w:val="20"/>
        </w:rPr>
        <w:t xml:space="preserve">: GAIA Real Estate CEO 발언("선벨트 아파트 추가 부실 증가")과 Missouri·Tennessee 신규 론 연체 사례는 </w:t>
      </w:r>
      <w:r>
        <w:rPr>
          <w:rFonts w:ascii="Noto Sans KR" w:hAnsi="Noto Sans KR" w:eastAsia="Noto Sans KR"/>
          <w:b/>
          <w:i w:val="0"/>
          <w:sz w:val="20"/>
        </w:rPr>
        <w:t>2027년 선벨트 디스트레스 매물 확대</w:t>
      </w:r>
      <w:r>
        <w:rPr>
          <w:rFonts w:ascii="Noto Sans KR" w:hAnsi="Noto Sans KR" w:eastAsia="Noto Sans KR"/>
          <w:b w:val="0"/>
          <w:i w:val="0"/>
          <w:sz w:val="20"/>
        </w:rPr>
        <w:t xml:space="preserve">를 예고. 우미글로벌은 우량 GP와의 관계를 활용해 </w:t>
      </w:r>
      <w:r>
        <w:rPr>
          <w:rFonts w:ascii="Noto Sans KR" w:hAnsi="Noto Sans KR" w:eastAsia="Noto Sans KR"/>
          <w:b/>
          <w:i w:val="0"/>
          <w:sz w:val="20"/>
        </w:rPr>
        <w:t>오프마켓 디스트레스 자산 접근 채널</w:t>
      </w:r>
      <w:r>
        <w:rPr>
          <w:rFonts w:ascii="Noto Sans KR" w:hAnsi="Noto Sans KR" w:eastAsia="Noto Sans KR"/>
          <w:b w:val="0"/>
          <w:i w:val="0"/>
          <w:sz w:val="20"/>
        </w:rPr>
        <w:t>을 미리 확보할 필요가 있음</w:t>
      </w:r>
    </w:p>
    <w:p>
      <w:pPr>
        <w:pBdr>
          <w:bottom w:val="single" w:sz="4" w:space="1" w:color="1B3A5C"/>
        </w:pBdr>
      </w:pPr>
    </w:p>
    <w:p>
      <w:r>
        <w:rPr>
          <w:rFonts w:ascii="Noto Sans KR" w:hAnsi="Noto Sans KR" w:eastAsia="Noto Sans KR"/>
          <w:b w:val="0"/>
          <w:i w:val="0"/>
          <w:sz w:val="20"/>
        </w:rPr>
        <w:t>*본 리포트는 공개 뉴스 415건 기반 주간 인텔리전스 요약이며, 투자 의사결정 전 추가 실사가 필요합니다.*</w:t>
      </w:r>
    </w:p>
    <w:p>
      <w:r>
        <w:rPr>
          <w:rFonts w:ascii="Noto Sans KR" w:hAnsi="Noto Sans KR" w:eastAsia="Noto Sans KR"/>
          <w:b w:val="0"/>
          <w:i w:val="0"/>
          <w:sz w:val="20"/>
        </w:rPr>
        <w:t>*작성: 우미글로벌 해외사업팀 리서치 데스크 | 배포: 내부 한정*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KR" w:hAnsi="Noto Sans KR"/>
        <w:sz w:val="18"/>
      </w:rPr>
      <w:fldChar w:fldCharType="begin"/>
      <w:instrText>PAGE</w:instrText>
      <w:fldChar w:fldCharType="separate"/>
      <w:fldChar w:fldCharType="end"/>
    </w:r>
    <w:r>
      <w:tab/>
      <w:tab/>
    </w:r>
    <w:r>
      <w:rPr>
        <w:rFonts w:ascii="Noto Sans KR" w:hAnsi="Noto Sans KR" w:eastAsia="Noto Sans KR"/>
        <w:b w:val="0"/>
        <w:i w:val="0"/>
        <w:color w:val="999999"/>
        <w:sz w:val="18"/>
      </w:rPr>
      <w:t>2026년 10월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1" w:color="1B3A5C"/>
      </w:pBdr>
    </w:pPr>
    <w:r>
      <w:rPr>
        <w:rFonts w:ascii="Noto Sans KR" w:hAnsi="Noto Sans KR" w:eastAsia="Noto Sans KR"/>
        <w:b w:val="0"/>
        <w:i w:val="0"/>
        <w:color w:val="999999"/>
        <w:sz w:val="20"/>
      </w:rPr>
      <w:t>우미글로벌 해외사업팀 | 대외비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