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Noto Sans KR" w:hAnsi="Noto Sans KR" w:eastAsia="Noto Sans KR"/>
          <w:b/>
          <w:i w:val="0"/>
          <w:color w:val="1B3A5C"/>
          <w:sz w:val="32"/>
        </w:rPr>
        <w:t>우미글로벌 해외사업팀</w:t>
      </w:r>
    </w:p>
    <w:p/>
    <w:p>
      <w:pPr>
        <w:jc w:val="center"/>
      </w:pPr>
      <w:r>
        <w:rPr>
          <w:rFonts w:ascii="Noto Sans KR" w:hAnsi="Noto Sans KR" w:eastAsia="Noto Sans KR"/>
          <w:b/>
          <w:i w:val="0"/>
          <w:sz w:val="40"/>
        </w:rPr>
        <w:t>미국 주거시장 주간 인텔리전스 리포트</w:t>
      </w:r>
    </w:p>
    <w:p/>
    <w:p>
      <w:pPr>
        <w:jc w:val="center"/>
      </w:pPr>
      <w:r>
        <w:rPr>
          <w:rFonts w:ascii="Noto Sans KR" w:hAnsi="Noto Sans KR" w:eastAsia="Noto Sans KR"/>
          <w:b w:val="0"/>
          <w:i w:val="0"/>
          <w:color w:val="999999"/>
          <w:sz w:val="20"/>
        </w:rPr>
        <w:t>기간: 2026-07-26 ~ 2026-08-02</w:t>
      </w:r>
    </w:p>
    <w:p/>
    <w:p>
      <w:pPr>
        <w:jc w:val="center"/>
      </w:pPr>
      <w:r>
        <w:rPr>
          <w:rFonts w:ascii="Noto Sans KR" w:hAnsi="Noto Sans KR" w:eastAsia="Noto Sans KR"/>
          <w:b w:val="0"/>
          <w:i w:val="0"/>
          <w:color w:val="999999"/>
          <w:sz w:val="20"/>
        </w:rPr>
        <w:t>작성일: 2026년 08월 02일  |  해외사업팀</w:t>
      </w:r>
    </w:p>
    <w:p>
      <w:r>
        <w:br w:type="page"/>
      </w:r>
    </w:p>
    <w:p>
      <w:pPr>
        <w:pBdr>
          <w:bottom w:val="single" w:sz="4" w:space="1" w:color="1B3A5C"/>
        </w:pBdr>
      </w:pPr>
      <w:r>
        <w:rPr>
          <w:rFonts w:ascii="Noto Sans KR" w:hAnsi="Noto Sans KR" w:eastAsia="Noto Sans KR"/>
          <w:b/>
          <w:i w:val="0"/>
          <w:color w:val="1B3A5C"/>
          <w:sz w:val="28"/>
        </w:rPr>
        <w:t>미국 주거시장 주간 인텔리전스 리포트</w:t>
      </w:r>
    </w:p>
    <w:p>
      <w:r>
        <w:rPr>
          <w:rFonts w:ascii="Noto Sans KR" w:hAnsi="Noto Sans KR" w:eastAsia="Noto Sans KR"/>
          <w:b w:val="0"/>
          <w:i w:val="0"/>
          <w:sz w:val="20"/>
        </w:rPr>
      </w:r>
      <w:r>
        <w:rPr>
          <w:rFonts w:ascii="Noto Sans KR" w:hAnsi="Noto Sans KR" w:eastAsia="Noto Sans KR"/>
          <w:b/>
          <w:i w:val="0"/>
          <w:sz w:val="20"/>
        </w:rPr>
        <w:t>Period:</w:t>
      </w:r>
      <w:r>
        <w:rPr>
          <w:rFonts w:ascii="Noto Sans KR" w:hAnsi="Noto Sans KR" w:eastAsia="Noto Sans KR"/>
          <w:b w:val="0"/>
          <w:i w:val="0"/>
          <w:sz w:val="20"/>
        </w:rPr>
        <w:t xml:space="preserve"> 2026-07-26 ~ 2026-08-02 | </w:t>
      </w:r>
      <w:r>
        <w:rPr>
          <w:rFonts w:ascii="Noto Sans KR" w:hAnsi="Noto Sans KR" w:eastAsia="Noto Sans KR"/>
          <w:b/>
          <w:i w:val="0"/>
          <w:sz w:val="20"/>
        </w:rPr>
        <w:t>Total Articles:</w:t>
      </w:r>
      <w:r>
        <w:rPr>
          <w:rFonts w:ascii="Noto Sans KR" w:hAnsi="Noto Sans KR" w:eastAsia="Noto Sans KR"/>
          <w:b w:val="0"/>
          <w:i w:val="0"/>
          <w:sz w:val="20"/>
        </w:rPr>
        <w:t xml:space="preserve"> 408건</w:t>
      </w:r>
    </w:p>
    <w:p/>
    <w:p>
      <w:pPr>
        <w:pBdr>
          <w:bottom w:val="single" w:sz="4" w:space="1" w:color="2E75B6"/>
        </w:pBdr>
      </w:pPr>
      <w:r>
        <w:rPr>
          <w:rFonts w:ascii="Noto Sans KR" w:hAnsi="Noto Sans KR" w:eastAsia="Noto Sans KR"/>
          <w:b/>
          <w:i w:val="0"/>
          <w:color w:val="2E75B6"/>
          <w:sz w:val="26"/>
        </w:rPr>
        <w:t>2. 정책·이슈</w:t>
      </w:r>
    </w:p>
    <w:p>
      <w:pPr>
        <w:pStyle w:val="ListBullet"/>
        <w:ind w:left="360"/>
      </w:pPr>
      <w:r>
        <w:rPr>
          <w:rFonts w:ascii="Noto Sans KR" w:hAnsi="Noto Sans KR" w:eastAsia="Noto Sans KR"/>
          <w:b w:val="0"/>
          <w:i w:val="0"/>
          <w:sz w:val="20"/>
        </w:rPr>
      </w:r>
      <w:r>
        <w:rPr>
          <w:rFonts w:ascii="Noto Sans KR" w:hAnsi="Noto Sans KR" w:eastAsia="Noto Sans KR"/>
          <w:b/>
          <w:i w:val="0"/>
          <w:sz w:val="20"/>
        </w:rPr>
        <w:t>연준(Fed) 금리 동결 지속, 내부 균열 심화</w:t>
      </w:r>
      <w:r>
        <w:rPr>
          <w:rFonts w:ascii="Noto Sans KR" w:hAnsi="Noto Sans KR" w:eastAsia="Noto Sans KR"/>
          <w:b w:val="0"/>
          <w:i w:val="0"/>
          <w:sz w:val="20"/>
        </w:rPr>
        <w:t>: 7월 FOMC에서 기준금리 3.50~3.75% 유지(5회 연속), 그러나 3명 위원 인상 반대 투표로 분열 노출. Warsh 의장이 인플레이션 억제보다 경제안정 우선하는 "매파 탈 쓴 비둘기(Dove in Hawk's Clothing)" 아니냐는 시장 해석 확산, 10년물 국채 수익률 4.7% 수준 유지로 부동산 금융 비용 여전히 고압</w:t>
      </w:r>
    </w:p>
    <w:p>
      <w:pPr>
        <w:pStyle w:val="ListBullet"/>
        <w:ind w:left="360"/>
      </w:pPr>
      <w:r>
        <w:rPr>
          <w:rFonts w:ascii="Noto Sans KR" w:hAnsi="Noto Sans KR" w:eastAsia="Noto Sans KR"/>
          <w:b w:val="0"/>
          <w:i w:val="0"/>
          <w:sz w:val="20"/>
        </w:rPr>
      </w:r>
      <w:r>
        <w:rPr>
          <w:rFonts w:ascii="Noto Sans KR" w:hAnsi="Noto Sans KR" w:eastAsia="Noto Sans KR"/>
          <w:b/>
          <w:i w:val="0"/>
          <w:sz w:val="20"/>
        </w:rPr>
        <w:t>Seattle 환경심사 개혁으로 인허가 가속화</w:t>
      </w:r>
      <w:r>
        <w:rPr>
          <w:rFonts w:ascii="Noto Sans KR" w:hAnsi="Noto Sans KR" w:eastAsia="Noto Sans KR"/>
          <w:b w:val="0"/>
          <w:i w:val="0"/>
          <w:sz w:val="20"/>
        </w:rPr>
        <w:t>: 행정심사 단계 제거로 주거개발 및 조닝 승인 속도 개선, 주택공급 확대 정책 강화 신호</w:t>
      </w:r>
    </w:p>
    <w:p>
      <w:pPr>
        <w:pStyle w:val="ListBullet"/>
        <w:ind w:left="360"/>
      </w:pPr>
      <w:r>
        <w:rPr>
          <w:rFonts w:ascii="Noto Sans KR" w:hAnsi="Noto Sans KR" w:eastAsia="Noto Sans KR"/>
          <w:b w:val="0"/>
          <w:i w:val="0"/>
          <w:sz w:val="20"/>
        </w:rPr>
      </w:r>
      <w:r>
        <w:rPr>
          <w:rFonts w:ascii="Noto Sans KR" w:hAnsi="Noto Sans KR" w:eastAsia="Noto Sans KR"/>
          <w:b/>
          <w:i w:val="0"/>
          <w:sz w:val="20"/>
        </w:rPr>
        <w:t>뉴욕주 Housing Acceleration Fund 첫 사례</w:t>
      </w:r>
      <w:r>
        <w:rPr>
          <w:rFonts w:ascii="Noto Sans KR" w:hAnsi="Noto Sans KR" w:eastAsia="Noto Sans KR"/>
          <w:b w:val="0"/>
          <w:i w:val="0"/>
          <w:sz w:val="20"/>
        </w:rPr>
        <w:t>: 주정부 지원 프로그램 하 첫 프로젝트 건설금융 완료, 향후 유사 프로젝트 파이프라인 기대</w:t>
      </w:r>
    </w:p>
    <w:p>
      <w:pPr>
        <w:pStyle w:val="ListBullet"/>
        <w:ind w:left="360"/>
      </w:pPr>
      <w:r>
        <w:rPr>
          <w:rFonts w:ascii="Noto Sans KR" w:hAnsi="Noto Sans KR" w:eastAsia="Noto Sans KR"/>
          <w:b w:val="0"/>
          <w:i w:val="0"/>
          <w:sz w:val="20"/>
        </w:rPr>
      </w:r>
      <w:r>
        <w:rPr>
          <w:rFonts w:ascii="Noto Sans KR" w:hAnsi="Noto Sans KR" w:eastAsia="Noto Sans KR"/>
          <w:b/>
          <w:i w:val="0"/>
          <w:sz w:val="20"/>
        </w:rPr>
        <w:t>혼합소득(Mixed-Income) 개발 인센티브 부상</w:t>
      </w:r>
      <w:r>
        <w:rPr>
          <w:rFonts w:ascii="Noto Sans KR" w:hAnsi="Noto Sans KR" w:eastAsia="Noto Sans KR"/>
          <w:b w:val="0"/>
          <w:i w:val="0"/>
          <w:sz w:val="20"/>
        </w:rPr>
        <w:t>: 주택부족과 금융여건 악화 속 주정부들이 민간-공공 혼합 소득계층 주거모델 지원 강화, 신규 금융모델 도입 논의 활발</w:t>
      </w:r>
    </w:p>
    <w:p>
      <w:pPr>
        <w:pStyle w:val="ListBullet"/>
        <w:ind w:left="360"/>
      </w:pPr>
      <w:r>
        <w:rPr>
          <w:rFonts w:ascii="Noto Sans KR" w:hAnsi="Noto Sans KR" w:eastAsia="Noto Sans KR"/>
          <w:b w:val="0"/>
          <w:i w:val="0"/>
          <w:sz w:val="20"/>
        </w:rPr>
      </w:r>
      <w:r>
        <w:rPr>
          <w:rFonts w:ascii="Noto Sans KR" w:hAnsi="Noto Sans KR" w:eastAsia="Noto Sans KR"/>
          <w:b/>
          <w:i w:val="0"/>
          <w:sz w:val="20"/>
        </w:rPr>
        <w:t>LA 시장 선거, 주택정책이 핵심 의제</w:t>
      </w:r>
      <w:r>
        <w:rPr>
          <w:rFonts w:ascii="Noto Sans KR" w:hAnsi="Noto Sans KR" w:eastAsia="Noto Sans KR"/>
          <w:b w:val="0"/>
          <w:i w:val="0"/>
          <w:sz w:val="20"/>
        </w:rPr>
        <w:t>: LA 시장 후보들이 주거affordability·노숙자 문제·경제기회를 최우선 공약으로 제시, 향후 정책 변화 가능성</w:t>
      </w:r>
    </w:p>
    <w:p/>
    <w:p>
      <w:pPr>
        <w:pBdr>
          <w:bottom w:val="single" w:sz="4" w:space="1" w:color="2E75B6"/>
        </w:pBdr>
      </w:pPr>
      <w:r>
        <w:rPr>
          <w:rFonts w:ascii="Noto Sans KR" w:hAnsi="Noto Sans KR" w:eastAsia="Noto Sans KR"/>
          <w:b/>
          <w:i w:val="0"/>
          <w:color w:val="2E75B6"/>
          <w:sz w:val="26"/>
        </w:rPr>
        <w:t>3. 거래현황</w:t>
      </w:r>
    </w:p>
    <w:p>
      <w:pPr>
        <w:pStyle w:val="ListBullet"/>
        <w:ind w:left="360"/>
      </w:pPr>
      <w:r>
        <w:rPr>
          <w:rFonts w:ascii="Noto Sans KR" w:hAnsi="Noto Sans KR" w:eastAsia="Noto Sans KR"/>
          <w:b w:val="0"/>
          <w:i w:val="0"/>
          <w:sz w:val="20"/>
        </w:rPr>
      </w:r>
      <w:r>
        <w:rPr>
          <w:rFonts w:ascii="Noto Sans KR" w:hAnsi="Noto Sans KR" w:eastAsia="Noto Sans KR"/>
          <w:b/>
          <w:i w:val="0"/>
          <w:sz w:val="20"/>
        </w:rPr>
        <w:t>대형 포트폴리오 거래 집중</w:t>
      </w:r>
      <w:r>
        <w:rPr>
          <w:rFonts w:ascii="Noto Sans KR" w:hAnsi="Noto Sans KR" w:eastAsia="Noto Sans KR"/>
          <w:b w:val="0"/>
          <w:i w:val="0"/>
          <w:sz w:val="20"/>
        </w:rPr>
        <w:t>: Camden Property Trust가 캘리포니아 전체 포트폴리오(11개 자산) $1.63B 매각 완료(7개월 만에 목표 $1.5B 초과), Elme Communities는 Alexandria 222유닛+토지 $250M 매각 계약 체결(청산 프로세스 완료 수순), AvalonBay-Equity Residential 합병법인 'Vivmark Residential' 출범(미국 최대급 주거 REIT)</w:t>
      </w:r>
    </w:p>
    <w:p>
      <w:pPr>
        <w:pStyle w:val="ListBullet"/>
        <w:ind w:left="360"/>
      </w:pPr>
      <w:r>
        <w:rPr>
          <w:rFonts w:ascii="Noto Sans KR" w:hAnsi="Noto Sans KR" w:eastAsia="Noto Sans KR"/>
          <w:b w:val="0"/>
          <w:i w:val="0"/>
          <w:sz w:val="20"/>
        </w:rPr>
      </w:r>
      <w:r>
        <w:rPr>
          <w:rFonts w:ascii="Noto Sans KR" w:hAnsi="Noto Sans KR" w:eastAsia="Noto Sans KR"/>
          <w:b/>
          <w:i w:val="0"/>
          <w:sz w:val="20"/>
        </w:rPr>
        <w:t>Student Housing 리파이낸싱 대형화</w:t>
      </w:r>
      <w:r>
        <w:rPr>
          <w:rFonts w:ascii="Noto Sans KR" w:hAnsi="Noto Sans KR" w:eastAsia="Noto Sans KR"/>
          <w:b w:val="0"/>
          <w:i w:val="0"/>
          <w:sz w:val="20"/>
        </w:rPr>
        <w:t>: Scion Group이 14개 자산, 총 10,454베드 학생주거 포트폴리오에 $556M 크레딧 퍼실리티 리파이낸싱 완료(Walker &amp; Dunlop 주선), Columbia University는 Morningside Heights 건물 $122M 매입(매입가의 3배+ 차익)</w:t>
      </w:r>
    </w:p>
    <w:p>
      <w:pPr>
        <w:pStyle w:val="ListBullet"/>
        <w:ind w:left="360"/>
      </w:pPr>
      <w:r>
        <w:rPr>
          <w:rFonts w:ascii="Noto Sans KR" w:hAnsi="Noto Sans KR" w:eastAsia="Noto Sans KR"/>
          <w:b w:val="0"/>
          <w:i w:val="0"/>
          <w:sz w:val="20"/>
        </w:rPr>
      </w:r>
      <w:r>
        <w:rPr>
          <w:rFonts w:ascii="Noto Sans KR" w:hAnsi="Noto Sans KR" w:eastAsia="Noto Sans KR"/>
          <w:b/>
          <w:i w:val="0"/>
          <w:sz w:val="20"/>
        </w:rPr>
        <w:t>대체금융(Alternative Lending) 활성화</w:t>
      </w:r>
      <w:r>
        <w:rPr>
          <w:rFonts w:ascii="Noto Sans KR" w:hAnsi="Noto Sans KR" w:eastAsia="Noto Sans KR"/>
          <w:b w:val="0"/>
          <w:i w:val="0"/>
          <w:sz w:val="20"/>
        </w:rPr>
        <w:t>: Slate Property Group이 $1B 규모 SMA(Separately Managed Account) 설정으로 주거 선순위 담보대출 시장 진출, Fortress Investment는 디스트레스 투자 전문성 바탕으로 일반 부동산 투자 사업 확장 중</w:t>
      </w:r>
    </w:p>
    <w:p>
      <w:pPr>
        <w:pStyle w:val="ListBullet"/>
        <w:ind w:left="360"/>
      </w:pPr>
      <w:r>
        <w:rPr>
          <w:rFonts w:ascii="Noto Sans KR" w:hAnsi="Noto Sans KR" w:eastAsia="Noto Sans KR"/>
          <w:b w:val="0"/>
          <w:i w:val="0"/>
          <w:sz w:val="20"/>
        </w:rPr>
      </w:r>
      <w:r>
        <w:rPr>
          <w:rFonts w:ascii="Noto Sans KR" w:hAnsi="Noto Sans KR" w:eastAsia="Noto Sans KR"/>
          <w:b/>
          <w:i w:val="0"/>
          <w:sz w:val="20"/>
        </w:rPr>
        <w:t>중소형 거래 활발(Multifamily Q2)</w:t>
      </w:r>
      <w:r>
        <w:rPr>
          <w:rFonts w:ascii="Noto Sans KR" w:hAnsi="Noto Sans KR" w:eastAsia="Noto Sans KR"/>
          <w:b w:val="0"/>
          <w:i w:val="0"/>
          <w:sz w:val="20"/>
        </w:rPr>
        <w:t>: MSCI 분석에 따르면 Q2 거래량 $36.7B로 소폭 증가했으나 가격은 전년대비 -1.7% 하락(2년 연속 마이너스), Veris Residential 민영화 거래가 볼륨 견인</w:t>
      </w:r>
    </w:p>
    <w:p>
      <w:pPr>
        <w:pStyle w:val="ListBullet"/>
        <w:ind w:left="360"/>
      </w:pPr>
      <w:r>
        <w:rPr>
          <w:rFonts w:ascii="Noto Sans KR" w:hAnsi="Noto Sans KR" w:eastAsia="Noto Sans KR"/>
          <w:b w:val="0"/>
          <w:i w:val="0"/>
          <w:sz w:val="20"/>
        </w:rPr>
      </w:r>
      <w:r>
        <w:rPr>
          <w:rFonts w:ascii="Noto Sans KR" w:hAnsi="Noto Sans KR" w:eastAsia="Noto Sans KR"/>
          <w:b/>
          <w:i w:val="0"/>
          <w:sz w:val="20"/>
        </w:rPr>
        <w:t>Senior Housing 기관투자 지속</w:t>
      </w:r>
      <w:r>
        <w:rPr>
          <w:rFonts w:ascii="Noto Sans KR" w:hAnsi="Noto Sans KR" w:eastAsia="Noto Sans KR"/>
          <w:b w:val="0"/>
          <w:i w:val="0"/>
          <w:sz w:val="20"/>
        </w:rPr>
        <w:t>: Ventas가 SoCal Ventura County 136유닛 시니어 주거 $57M 매입, Welltower는 Q2 실적에서 시니어 주거 부문 수익·수입 성장 보고</w:t>
      </w:r>
    </w:p>
    <w:p/>
    <w:p>
      <w:pPr>
        <w:pBdr>
          <w:bottom w:val="single" w:sz="4" w:space="1" w:color="2E75B6"/>
        </w:pBdr>
      </w:pPr>
      <w:r>
        <w:rPr>
          <w:rFonts w:ascii="Noto Sans KR" w:hAnsi="Noto Sans KR" w:eastAsia="Noto Sans KR"/>
          <w:b/>
          <w:i w:val="0"/>
          <w:color w:val="2E75B6"/>
          <w:sz w:val="26"/>
        </w:rPr>
        <w:t>4. 시사점</w:t>
      </w:r>
    </w:p>
    <w:p>
      <w:pPr>
        <w:pStyle w:val="ListBullet"/>
        <w:ind w:left="360"/>
      </w:pPr>
      <w:r>
        <w:rPr>
          <w:rFonts w:ascii="Noto Sans KR" w:hAnsi="Noto Sans KR" w:eastAsia="Noto Sans KR"/>
          <w:b w:val="0"/>
          <w:i w:val="0"/>
          <w:sz w:val="20"/>
        </w:rPr>
      </w:r>
      <w:r>
        <w:rPr>
          <w:rFonts w:ascii="Noto Sans KR" w:hAnsi="Noto Sans KR" w:eastAsia="Noto Sans KR"/>
          <w:b/>
          <w:i w:val="0"/>
          <w:sz w:val="20"/>
        </w:rPr>
        <w:t>Student Housing 진입 기회 확대</w:t>
      </w:r>
      <w:r>
        <w:rPr>
          <w:rFonts w:ascii="Noto Sans KR" w:hAnsi="Noto Sans KR" w:eastAsia="Noto Sans KR"/>
          <w:b w:val="0"/>
          <w:i w:val="0"/>
          <w:sz w:val="20"/>
        </w:rPr>
        <w:t>: 대학 등록 증가에 따른 캠퍼스 인근 학생주거 수요 구조적 증가 국면. 특히 호텔 리모델링 등 기존 자산 전환 방식이 활성화되고 있어, 우미글로벌의 리포지셔닝 역량 및 대학 파트너십 전략 활용 가능. Core Spaces·Scion·Gilbane 등 전문 GP와의 JV 또는 LP 투자 검토 필요</w:t>
      </w:r>
    </w:p>
    <w:p>
      <w:pPr>
        <w:pStyle w:val="ListBullet"/>
        <w:ind w:left="360"/>
      </w:pPr>
      <w:r>
        <w:rPr>
          <w:rFonts w:ascii="Noto Sans KR" w:hAnsi="Noto Sans KR" w:eastAsia="Noto Sans KR"/>
          <w:b w:val="0"/>
          <w:i w:val="0"/>
          <w:sz w:val="20"/>
        </w:rPr>
      </w:r>
      <w:r>
        <w:rPr>
          <w:rFonts w:ascii="Noto Sans KR" w:hAnsi="Noto Sans KR" w:eastAsia="Noto Sans KR"/>
          <w:b/>
          <w:i w:val="0"/>
          <w:sz w:val="20"/>
        </w:rPr>
        <w:t>BTR 섹터 안정적 자본 조달 환경</w:t>
      </w:r>
      <w:r>
        <w:rPr>
          <w:rFonts w:ascii="Noto Sans KR" w:hAnsi="Noto Sans KR" w:eastAsia="Noto Sans KR"/>
          <w:b w:val="0"/>
          <w:i w:val="0"/>
          <w:sz w:val="20"/>
        </w:rPr>
        <w:t>: 브릿지론·건설대출 시장이 BTR에 우호적이며, 단독주택 대비 저렴한 임대료로 밀레니얼·Z세대 수요 확보 용이. Florida·Arizona 등 인구 순유입 지역 중심으로 소규모(200~350유닛) 프로젝트 공동투자 모델 검토 유효</w:t>
      </w:r>
    </w:p>
    <w:p>
      <w:pPr>
        <w:pStyle w:val="ListBullet"/>
        <w:ind w:left="360"/>
      </w:pPr>
      <w:r>
        <w:rPr>
          <w:rFonts w:ascii="Noto Sans KR" w:hAnsi="Noto Sans KR" w:eastAsia="Noto Sans KR"/>
          <w:b w:val="0"/>
          <w:i w:val="0"/>
          <w:sz w:val="20"/>
        </w:rPr>
      </w:r>
      <w:r>
        <w:rPr>
          <w:rFonts w:ascii="Noto Sans KR" w:hAnsi="Noto Sans KR" w:eastAsia="Noto Sans KR"/>
          <w:b/>
          <w:i w:val="0"/>
          <w:sz w:val="20"/>
        </w:rPr>
        <w:t>GP 파트너십 전략 재점검</w:t>
      </w:r>
      <w:r>
        <w:rPr>
          <w:rFonts w:ascii="Noto Sans KR" w:hAnsi="Noto Sans KR" w:eastAsia="Noto Sans KR"/>
          <w:b w:val="0"/>
          <w:i w:val="0"/>
          <w:sz w:val="20"/>
        </w:rPr>
        <w:t>: Fortress·Slate·Blackstone 등 대형 GP들이 디스트레스 자산→일반 투자로 전략 확장 중. 우리는 중소형 GP(Harrison Street, Triten, OHT Partners 등)와의 코인베스트먼트나 co-GP 구조를 통해 딜 소싱 경쟁력 확보 가능. 특히 Mixed-Income·Affordable Housing 섹터는 정부 인센티브 활용 가능해 리스크 대비 수익 매력적</w:t>
      </w:r>
    </w:p>
    <w:p>
      <w:pPr>
        <w:pStyle w:val="ListBullet"/>
        <w:ind w:left="360"/>
      </w:pPr>
      <w:r>
        <w:rPr>
          <w:rFonts w:ascii="Noto Sans KR" w:hAnsi="Noto Sans KR" w:eastAsia="Noto Sans KR"/>
          <w:b w:val="0"/>
          <w:i w:val="0"/>
          <w:sz w:val="20"/>
        </w:rPr>
      </w:r>
      <w:r>
        <w:rPr>
          <w:rFonts w:ascii="Noto Sans KR" w:hAnsi="Noto Sans KR" w:eastAsia="Noto Sans KR"/>
          <w:b/>
          <w:i w:val="0"/>
          <w:sz w:val="20"/>
        </w:rPr>
        <w:t>금리 불확실성 속 선별적 접근 필수</w:t>
      </w:r>
      <w:r>
        <w:rPr>
          <w:rFonts w:ascii="Noto Sans KR" w:hAnsi="Noto Sans KR" w:eastAsia="Noto Sans KR"/>
          <w:b w:val="0"/>
          <w:i w:val="0"/>
          <w:sz w:val="20"/>
        </w:rPr>
        <w:t>: Fed가 금리 인상 여지를 남겨둔 상황에서 고금리 장기화 가능성 상존. 따라서 (1) 단기 브릿지론보다 장기 고정금리 확보 프로젝트, (2) 공실률 낮고 임대료 상승 여력 있는 시장(텍사스 고공급 지역 회피, 동북부·플로리다 선별), (3) 밸류애드 전략(리모델링·용도전환)에 집중해야 리스크 관리 가능</w:t>
      </w:r>
    </w:p>
    <w:p>
      <w:pPr>
        <w:pStyle w:val="ListBullet"/>
        <w:ind w:left="360"/>
      </w:pPr>
      <w:r>
        <w:rPr>
          <w:rFonts w:ascii="Noto Sans KR" w:hAnsi="Noto Sans KR" w:eastAsia="Noto Sans KR"/>
          <w:b w:val="0"/>
          <w:i w:val="0"/>
          <w:sz w:val="20"/>
        </w:rPr>
      </w:r>
      <w:r>
        <w:rPr>
          <w:rFonts w:ascii="Noto Sans KR" w:hAnsi="Noto Sans KR" w:eastAsia="Noto Sans KR"/>
          <w:b/>
          <w:i w:val="0"/>
          <w:sz w:val="20"/>
        </w:rPr>
        <w:t>포트폴리오 거래 모니터링 강화</w:t>
      </w:r>
      <w:r>
        <w:rPr>
          <w:rFonts w:ascii="Noto Sans KR" w:hAnsi="Noto Sans KR" w:eastAsia="Noto Sans KR"/>
          <w:b w:val="0"/>
          <w:i w:val="0"/>
          <w:sz w:val="20"/>
        </w:rPr>
        <w:t>: Camden·Elme 등 대형 매도 사례는 가격 조정 국면 진입 신호. 향후 6~12개월 내 추가 포트폴리오 매물 출회 가능성 높아, 기관투자자 디스트레스 또는 전략적 엑시트 딜에 대한 정보망 구축 및 신속 실사 체계 준비 필요</w:t>
      </w:r>
    </w:p>
    <w:p>
      <w:r>
        <w:rPr>
          <w:rFonts w:ascii="Noto Sans KR" w:hAnsi="Noto Sans KR" w:eastAsia="Noto Sans KR"/>
          <w:b/>
          <w:i w:val="0"/>
          <w:sz w:val="20"/>
        </w:rPr>
        <w:t>[End of Report]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sz w:val="18"/>
      </w:rPr>
      <w:fldChar w:fldCharType="begin"/>
      <w:instrText>PAGE</w:instrText>
      <w:fldChar w:fldCharType="separate"/>
      <w:fldChar w:fldCharType="end"/>
    </w:r>
    <w:r>
      <w:tab/>
      <w:tab/>
    </w:r>
    <w:r>
      <w:rPr>
        <w:rFonts w:ascii="Noto Sans KR" w:hAnsi="Noto Sans KR" w:eastAsia="Noto Sans KR"/>
        <w:b w:val="0"/>
        <w:i w:val="0"/>
        <w:color w:val="999999"/>
        <w:sz w:val="18"/>
      </w:rPr>
      <w:t>2026년 8월</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1B3A5C"/>
      </w:pBdr>
    </w:pPr>
    <w:r>
      <w:rPr>
        <w:rFonts w:ascii="Noto Sans KR" w:hAnsi="Noto Sans KR" w:eastAsia="Noto Sans KR"/>
        <w:b w:val="0"/>
        <w:i w:val="0"/>
        <w:color w:val="999999"/>
        <w:sz w:val="20"/>
      </w:rPr>
      <w:t>우미글로벌 해외사업팀 | 대외비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