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2026-07-12 ~ 2026-07-19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07월 19일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미국 주거시장 주간 인텔리전스 리포트</w:t>
      </w:r>
    </w:p>
    <w:p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보고기간</w:t>
      </w:r>
      <w:r>
        <w:rPr>
          <w:rFonts w:ascii="Noto Sans KR" w:hAnsi="Noto Sans KR" w:eastAsia="Noto Sans KR"/>
          <w:b w:val="0"/>
          <w:i w:val="0"/>
          <w:sz w:val="20"/>
        </w:rPr>
        <w:t xml:space="preserve">: 2026년 7월 12일 ~ 7월 19일 | </w:t>
      </w:r>
      <w:r>
        <w:rPr>
          <w:rFonts w:ascii="Noto Sans KR" w:hAnsi="Noto Sans KR" w:eastAsia="Noto Sans KR"/>
          <w:b/>
          <w:i w:val="0"/>
          <w:sz w:val="20"/>
        </w:rPr>
        <w:t>분석 기사</w:t>
      </w:r>
      <w:r>
        <w:rPr>
          <w:rFonts w:ascii="Noto Sans KR" w:hAnsi="Noto Sans KR" w:eastAsia="Noto Sans KR"/>
          <w:b w:val="0"/>
          <w:i w:val="0"/>
          <w:sz w:val="20"/>
        </w:rPr>
        <w:t>: 421건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21st Century ROAD to Housing Act 발효</w:t>
      </w:r>
      <w:r>
        <w:rPr>
          <w:rFonts w:ascii="Noto Sans KR" w:hAnsi="Noto Sans KR" w:eastAsia="Noto Sans KR"/>
          <w:b w:val="0"/>
          <w:i w:val="0"/>
          <w:sz w:val="20"/>
        </w:rPr>
        <w:t>: Trump 대통령 서명 없이 의회 자동발효로 연방주택법 통과. BTR·affordable 부문 tax credit 확대 및 기관투자자 진입장벽 완화 조항 포함, NMHC는 "multifamily 투자환경 개선 계기" 평가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금리 동향 및 CMBS 시그널</w:t>
      </w:r>
      <w:r>
        <w:rPr>
          <w:rFonts w:ascii="Noto Sans KR" w:hAnsi="Noto Sans KR" w:eastAsia="Noto Sans KR"/>
          <w:b w:val="0"/>
          <w:i w:val="0"/>
          <w:sz w:val="20"/>
        </w:rPr>
        <w:t>: 연준 6월 discount rate 회의록 공개. Apartment CMBS 연체율은 혼조세(Trepp), FDIC 은행권 multifamily 연체율은 Q1 2026 기준 2013년 이후 최고치 기록(CREDiQ). 그러나 거래시장은 prime asset 중심 회복 조짐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Section 8 차별 논란</w:t>
      </w:r>
      <w:r>
        <w:rPr>
          <w:rFonts w:ascii="Noto Sans KR" w:hAnsi="Noto Sans KR" w:eastAsia="Noto Sans KR"/>
          <w:b w:val="0"/>
          <w:i w:val="0"/>
          <w:sz w:val="20"/>
        </w:rPr>
        <w:t>: 주택감시단체가 Greystar를 6개 주에서 Section 8 voucher 소지자 거부 혐의로 고발. Affordable housing 공급 확대 정책과 민간 운영자 컴플라이언스 충돌 부각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California 주정부 예산 배정</w:t>
      </w:r>
      <w:r>
        <w:rPr>
          <w:rFonts w:ascii="Noto Sans KR" w:hAnsi="Noto Sans KR" w:eastAsia="Noto Sans KR"/>
          <w:b w:val="0"/>
          <w:i w:val="0"/>
          <w:sz w:val="20"/>
        </w:rPr>
        <w:t>: Newsom 주지사 최종예산안에서 UC·CSU 캠퍼스에 $1B+ 배정, student housing 확충 및 캠퍼스 인프라 투자 가속 전망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지역별 permit/starts 동향</w:t>
      </w:r>
      <w:r>
        <w:rPr>
          <w:rFonts w:ascii="Noto Sans KR" w:hAnsi="Noto Sans KR" w:eastAsia="Noto Sans KR"/>
          <w:b w:val="0"/>
          <w:i w:val="0"/>
          <w:sz w:val="20"/>
        </w:rPr>
        <w:t>: 6월 multifamily permits는 감소했으나 starts는 전월 대비 회복(Census Bureau). Sun Belt 일부 지역 공급과잉 우려 지속되나 Gateway·Midwest 수요는 견조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대형 M&amp;A 연쇄 발생</w:t>
      </w:r>
      <w:r>
        <w:rPr>
          <w:rFonts w:ascii="Noto Sans KR" w:hAnsi="Noto Sans KR" w:eastAsia="Noto Sans KR"/>
          <w:b w:val="0"/>
          <w:i w:val="0"/>
          <w:sz w:val="20"/>
        </w:rPr>
        <w:t>: Milhaus+SRG Residential 합병 후 Broadshore Capital 인수 추진(multibillion 개발파이프라인 확보), Lincoln Property가 Spectrum Cos. 인수(7,000+유닛 포트폴리오, Southeast 확장), 업계 통합 가속화로 개발역량·자금조달력 집중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Institutional 거래 활발</w:t>
      </w:r>
      <w:r>
        <w:rPr>
          <w:rFonts w:ascii="Noto Sans KR" w:hAnsi="Noto Sans KR" w:eastAsia="Noto Sans KR"/>
          <w:b w:val="0"/>
          <w:i w:val="0"/>
          <w:sz w:val="20"/>
        </w:rPr>
        <w:t>: Greystar가 Virginia 423유닛 $216M 매각, Boyd Wilson Pennsylvania 384유닛 $97M 취득(Freddie Mac $67.9M 선순위론), UDR Portland $74M 취득, Camden Gilbert 320유닛 인수 등 대형 operator 중심 prime asset 거래 증가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캡틴 경쟁</w:t>
      </w:r>
      <w:r>
        <w:rPr>
          <w:rFonts w:ascii="Noto Sans KR" w:hAnsi="Noto Sans KR" w:eastAsia="Noto Sans KR"/>
          <w:b w:val="0"/>
          <w:i w:val="0"/>
          <w:sz w:val="20"/>
        </w:rPr>
        <w:t>: Columbia대 Morningside Heights 300+유닛 $122M 매각, Northeastern대 East Village $169M 매입(11년 임대 후 취득), Core Spaces REIT 신설로 student 자산 유동화 본격화. 기관·대학 직접투자 트렌드 뚜렷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Financing 시장 정상화</w:t>
      </w:r>
      <w:r>
        <w:rPr>
          <w:rFonts w:ascii="Noto Sans KR" w:hAnsi="Noto Sans KR" w:eastAsia="Noto Sans KR"/>
          <w:b w:val="0"/>
          <w:i w:val="0"/>
          <w:sz w:val="20"/>
        </w:rPr>
        <w:t>: Cushman $95.7M Texas 포트폴리오 대출, JLL Chicago NEMA $332M 리파이낸싱(최고층 임대타워), Newmark $163M Fannie Mae 포트폴리오 리파이낸싱 등 agency debt·상업은행 대출 재개. 단 prime location·신축 중심 선별 심화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전용펀드 조성</w:t>
      </w:r>
      <w:r>
        <w:rPr>
          <w:rFonts w:ascii="Noto Sans KR" w:hAnsi="Noto Sans KR" w:eastAsia="Noto Sans KR"/>
          <w:b w:val="0"/>
          <w:i w:val="0"/>
          <w:sz w:val="20"/>
        </w:rPr>
        <w:t>: PPR Capital이 새 연방법 수혜 목적 $100M BTR 펀드 출시, Concord Summit Florida master-planned community에 $85.6M combined financing. SFR/BTR 섹터 institutional capital 재유입 시작</w:t>
      </w: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GP 파트너십 기회 확대</w:t>
      </w:r>
      <w:r>
        <w:rPr>
          <w:rFonts w:ascii="Noto Sans KR" w:hAnsi="Noto Sans KR" w:eastAsia="Noto Sans KR"/>
          <w:b w:val="0"/>
          <w:i w:val="0"/>
          <w:sz w:val="20"/>
        </w:rPr>
        <w:t>: Milhaus·Lincoln 등 중대형 개발사가 M&amp;A 통해 다지역 플랫폼 구축 중. 우미글로벌은 ①개발 역량 검증된 지역 GP와 JV 구조 검토 ②특히 Texas·Southeast·Midwest gateway 시장 진입 파트너 발굴이 시급. Broadshore·Spectrum 유형 중소형 우량 GP는 exit 의향 높아 지분투자 타이밍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Student Housing institutional 대형화</w:t>
      </w:r>
      <w:r>
        <w:rPr>
          <w:rFonts w:ascii="Noto Sans KR" w:hAnsi="Noto Sans KR" w:eastAsia="Noto Sans KR"/>
          <w:b w:val="0"/>
          <w:i w:val="0"/>
          <w:sz w:val="20"/>
        </w:rPr>
        <w:t>: $170M+ 규모 대학 직매입 및 Core Spaces REIT 전환 사례는 학생주거 자산의 기관급 상품화 가속 시사. 우미는 ①대학 인접 토지확보 능력 보유 개발사와 선제적 파트너십 ②university partnership 경험 있는 운영사 제휴로 안정 cashflow 확보 전략 필요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정책 모멘텀 활용</w:t>
      </w:r>
      <w:r>
        <w:rPr>
          <w:rFonts w:ascii="Noto Sans KR" w:hAnsi="Noto Sans KR" w:eastAsia="Noto Sans KR"/>
          <w:b w:val="0"/>
          <w:i w:val="0"/>
          <w:sz w:val="20"/>
        </w:rPr>
        <w:t>: 새 연방법의 tax incentive·zoning 완화 조항은 suburban BTR 개발 경제성 개선 의미. PPR $100M 펀드 등 선제적 capital 형성 사례 참고, 우미는 ①master-planned community 개발 경험 GP ②토지은행 보유한 homebuilder와 BTR 전환 co-development 기회 모색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Affordable 부문 정책자금 leverage</w:t>
      </w:r>
      <w:r>
        <w:rPr>
          <w:rFonts w:ascii="Noto Sans KR" w:hAnsi="Noto Sans KR" w:eastAsia="Noto Sans KR"/>
          <w:b w:val="0"/>
          <w:i w:val="0"/>
          <w:sz w:val="20"/>
        </w:rPr>
        <w:t>: Warner Center $2B affordable senior 프로젝트는 지자체 인센티브+연방 LIHTC 결합 구조. 우미는 affordable 개발 트랙레코드 있는 Pennrose·McShane 유형 파트너 발굴 시 ①안정적 공공재원 활용 ②ESG 포트폴리오 다변화 ③지역사회 관계 구축 동시 달성 가능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Prime Asset 선별 투자 심화 대응</w:t>
      </w:r>
      <w:r>
        <w:rPr>
          <w:rFonts w:ascii="Noto Sans KR" w:hAnsi="Noto Sans KR" w:eastAsia="Noto Sans KR"/>
          <w:b w:val="0"/>
          <w:i w:val="0"/>
          <w:sz w:val="20"/>
        </w:rPr>
        <w:t>: 거래·financing 모두 A급 입지·신축 중심 재편. 우미는 value-add 전략보다 ①core+ 신규개발 참여 ②gateway 도심 transit-oriented 입지 ③대학·대기업 anchor 있는 수요 안정지역 집중이 현 사이클 리스크 관리 핵심</w:t>
      </w:r>
    </w:p>
    <w:p>
      <w:r>
        <w:rPr>
          <w:rFonts w:ascii="Noto Sans KR" w:hAnsi="Noto Sans KR" w:eastAsia="Noto Sans KR"/>
          <w:b/>
          <w:i w:val="0"/>
          <w:sz w:val="20"/>
        </w:rPr>
        <w:t>[보고서 작성: 우미글로벌 해외사업팀 미국 주거 리서치]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7월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