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2026-06-16 ~ 2026-06-23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06월 23일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주간 인텔리전스 리포트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Report Period:</w:t>
      </w:r>
      <w:r>
        <w:rPr>
          <w:rFonts w:ascii="Noto Sans KR" w:hAnsi="Noto Sans KR" w:eastAsia="Noto Sans KR"/>
          <w:b w:val="0"/>
          <w:i w:val="0"/>
          <w:sz w:val="20"/>
        </w:rPr>
        <w:t xml:space="preserve"> 2026-06-16 ~ 2026-06-23 | </w:t>
      </w:r>
      <w:r>
        <w:rPr>
          <w:rFonts w:ascii="Noto Sans KR" w:hAnsi="Noto Sans KR" w:eastAsia="Noto Sans KR"/>
          <w:b/>
          <w:i w:val="0"/>
          <w:sz w:val="20"/>
        </w:rPr>
        <w:t>Total Articles:</w:t>
      </w:r>
      <w:r>
        <w:rPr>
          <w:rFonts w:ascii="Noto Sans KR" w:hAnsi="Noto Sans KR" w:eastAsia="Noto Sans KR"/>
          <w:b w:val="0"/>
          <w:i w:val="0"/>
          <w:sz w:val="20"/>
        </w:rPr>
        <w:t xml:space="preserve"> 351건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연준 Warsh 의장 첫 FOMC, 금리 동결</w:t>
      </w:r>
      <w:r>
        <w:rPr>
          <w:rFonts w:ascii="Noto Sans KR" w:hAnsi="Noto Sans KR" w:eastAsia="Noto Sans KR"/>
          <w:b w:val="0"/>
          <w:i w:val="0"/>
          <w:sz w:val="20"/>
        </w:rPr>
        <w:t>(3.50~3.75%): 시장은 추가 인상 가능성 우려 증폭. Goldman Sachs와 JPM 등 주요 기관은 올해 3회 인상 예측으로 전환하며 multifamily 파이낸싱 환경 악화 전망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21st Century ROAD to Housing Act 타결</w:t>
      </w:r>
      <w:r>
        <w:rPr>
          <w:rFonts w:ascii="Noto Sans KR" w:hAnsi="Noto Sans KR" w:eastAsia="Noto Sans KR"/>
          <w:b w:val="0"/>
          <w:i w:val="0"/>
          <w:sz w:val="20"/>
        </w:rPr>
        <w:t>: 상하원 초당파 주택법안 절차적 승인(87-8). "세대적 주택법안"으로 평가되며 multifamily 섹터 지원 확대 예상. 최종 투표 임박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LA Measure ULA('Mansion Tax') 완화 논의</w:t>
      </w:r>
      <w:r>
        <w:rPr>
          <w:rFonts w:ascii="Noto Sans KR" w:hAnsi="Noto Sans KR" w:eastAsia="Noto Sans KR"/>
          <w:b w:val="0"/>
          <w:i w:val="0"/>
          <w:sz w:val="20"/>
        </w:rPr>
        <w:t>: 시의회 9-5 찬성으로 주민투표 추진. $5M+ 부동산 거래세 부담 완화 방향으로 개발사·투자자 환영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건설비용 상승 지속</w:t>
      </w:r>
      <w:r>
        <w:rPr>
          <w:rFonts w:ascii="Noto Sans KR" w:hAnsi="Noto Sans KR" w:eastAsia="Noto Sans KR"/>
          <w:b w:val="0"/>
          <w:i w:val="0"/>
          <w:sz w:val="20"/>
        </w:rPr>
        <w:t>: 이란 전쟁 여파로 연간 건설비용 증가율이 팬데믹 수준 회귀. 석유 기반 자재(플라스틱 등) 가격 급등으로 총 건설비의 20% 영향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Multifamily 공급 급감</w:t>
      </w:r>
      <w:r>
        <w:rPr>
          <w:rFonts w:ascii="Noto Sans KR" w:hAnsi="Noto Sans KR" w:eastAsia="Noto Sans KR"/>
          <w:b w:val="0"/>
          <w:i w:val="0"/>
          <w:sz w:val="20"/>
        </w:rPr>
        <w:t>: 5월 착공 전월比 40.2%↓, 6년 최저 수준 기록. 인허가·착공·완공 모두 감소하며 향후 공급 부족 우려 증가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$100M+ 대형 딜 집중</w:t>
      </w:r>
      <w:r>
        <w:rPr>
          <w:rFonts w:ascii="Noto Sans KR" w:hAnsi="Noto Sans KR" w:eastAsia="Noto Sans KR"/>
          <w:b w:val="0"/>
          <w:i w:val="0"/>
          <w:sz w:val="20"/>
        </w:rPr>
        <w:t>: Fort Worth 452유닛 매각+취득금융+에퀴티(Newmark 주선), Scottsdale 시니어 147유닛 $109M($740K/unit, Stonepeak 매수), Gilbert 278유닛 $81.6M(Wood Partners→DWS), Boca Raton 448유닛 리파이낸싱 등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영국 연기금의 미국 BTR 진출</w:t>
      </w:r>
      <w:r>
        <w:rPr>
          <w:rFonts w:ascii="Noto Sans KR" w:hAnsi="Noto Sans KR" w:eastAsia="Noto Sans KR"/>
          <w:b w:val="0"/>
          <w:i w:val="0"/>
          <w:sz w:val="20"/>
        </w:rPr>
        <w:t>: Border to Coast가 Blackstone 1,000유닛 SFR 포트폴리오 £450M 매입 추진. 글로벌 자본의 미국 single-family rental 관심 급증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Apollo의 모기지 REIT 청산</w:t>
      </w:r>
      <w:r>
        <w:rPr>
          <w:rFonts w:ascii="Noto Sans KR" w:hAnsi="Noto Sans KR" w:eastAsia="Noto Sans KR"/>
          <w:b w:val="0"/>
          <w:i w:val="0"/>
          <w:sz w:val="20"/>
        </w:rPr>
        <w:t>: $9B 대출 자산 매각 후 청산 결정. CRE debt 시장 구조조정 신호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대형 거래</w:t>
      </w:r>
      <w:r>
        <w:rPr>
          <w:rFonts w:ascii="Noto Sans KR" w:hAnsi="Noto Sans KR" w:eastAsia="Noto Sans KR"/>
          <w:b w:val="0"/>
          <w:i w:val="0"/>
          <w:sz w:val="20"/>
        </w:rPr>
        <w:t>: Hawkins Way/Varde JV가 NYC Upper West Side 382유닛 매입, LaSalle이 Michigan State 인근 190유닛(436bed) 취득 등 기관투자자 선호도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Office-to-Resi 전환 파이낸싱 활발</w:t>
      </w:r>
      <w:r>
        <w:rPr>
          <w:rFonts w:ascii="Noto Sans KR" w:hAnsi="Noto Sans KR" w:eastAsia="Noto Sans KR"/>
          <w:b w:val="0"/>
          <w:i w:val="0"/>
          <w:sz w:val="20"/>
        </w:rPr>
        <w:t>: NYC 1740 Broadway $480M(Madison Realty Capital), DC $750M 전환(Post Brothers), Houston 919 Milam 매각 등 오피스 전환 딜플로우 증가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P3 모델 주목</w:t>
      </w:r>
      <w:r>
        <w:rPr>
          <w:rFonts w:ascii="Noto Sans KR" w:hAnsi="Noto Sans KR" w:eastAsia="Noto Sans KR"/>
          <w:b w:val="0"/>
          <w:i w:val="0"/>
          <w:sz w:val="20"/>
        </w:rPr>
        <w:t>: WKU $350M, FSU $301M 등 대학 직접 파트너십 구조가 안정적 cash flow 제공. 우미글로벌은 한국 대학 기숙사 PPP 경험 활용해 미국 중소규모 대학(Tier 2~3) 타깃 JV 검토 가능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섹터 기관투자자 진입 가속화</w:t>
      </w:r>
      <w:r>
        <w:rPr>
          <w:rFonts w:ascii="Noto Sans KR" w:hAnsi="Noto Sans KR" w:eastAsia="Noto Sans KR"/>
          <w:b w:val="0"/>
          <w:i w:val="0"/>
          <w:sz w:val="20"/>
        </w:rPr>
        <w:t>: 영국 연기금의 Blackstone 포트폴리오 매입, cottage-style BTR 확산은 단독주택 선호 미국 가구 수요 반영. 한국 건설사의 BTR 개발 노하우(타운홈/저층) 차별화 포인트로 활용 가능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텍사스·애리조나 공급 과잉 리스크 vs 기회</w:t>
      </w:r>
      <w:r>
        <w:rPr>
          <w:rFonts w:ascii="Noto Sans KR" w:hAnsi="Noto Sans KR" w:eastAsia="Noto Sans KR"/>
          <w:b w:val="0"/>
          <w:i w:val="0"/>
          <w:sz w:val="20"/>
        </w:rPr>
        <w:t>: Houston/DFW 최다 착공 지속하나 금리 인상·건설비 상승으로 소규모 개발사 distress 가능성. Value-add 인수 기회 및 안정화 자산 위주 포트폴리오 전환 전략 유효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 Housing 정책 수혜 명확</w:t>
      </w:r>
      <w:r>
        <w:rPr>
          <w:rFonts w:ascii="Noto Sans KR" w:hAnsi="Noto Sans KR" w:eastAsia="Noto Sans KR"/>
          <w:b w:val="0"/>
          <w:i w:val="0"/>
          <w:sz w:val="20"/>
        </w:rPr>
        <w:t>: HUD RAD, 지자체 지상권 등 공공 지원 확대로 하방 리스크 제한. 한국 LH 등 공공기관 해외사업 진출 시 joint venture 파트너로서 우미글로벌의 미국 affordable 경험 강점 부각 가능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금리 동결/인상 국면 대응 전략</w:t>
      </w:r>
      <w:r>
        <w:rPr>
          <w:rFonts w:ascii="Noto Sans KR" w:hAnsi="Noto Sans KR" w:eastAsia="Noto Sans KR"/>
          <w:b w:val="0"/>
          <w:i w:val="0"/>
          <w:sz w:val="20"/>
        </w:rPr>
        <w:t>: Warsh 연준의 매파적 기조로 acquisition financing 어려움 지속. 기존 포트폴리오 refinancing 리스크 관리 우선, 신규 투자는 all-cash 또는 낮은 LTV 전략 필수. Distressed asset 매입 위한 dry powder 확보 시점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※ 다음 주 모니터링 포인트</w:t>
      </w:r>
      <w:r>
        <w:rPr>
          <w:rFonts w:ascii="Noto Sans KR" w:hAnsi="Noto Sans KR" w:eastAsia="Noto Sans KR"/>
          <w:b w:val="0"/>
          <w:i w:val="0"/>
          <w:sz w:val="20"/>
        </w:rPr>
        <w:t>: FOMC 의사록 공개, 상하원 주택법안 최종 투표 일정, LA Measure ULA 주민투표 확정일, Yardi Matrix Q2 리포트 발표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6월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