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2026-06-29 ~ 2026-07-06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07월 06일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보고기간:** 2026년 6월 29일 ~ 7월 6일 | **총 158건 분석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r>
        <w:rPr>
          <w:rFonts w:ascii="Noto Sans KR" w:hAnsi="Noto Sans KR" w:eastAsia="Noto Sans KR"/>
          <w:b/>
          <w:i w:val="0"/>
          <w:sz w:val="20"/>
        </w:rPr>
        <w:t>캘리포니아 Measure ULA 혼란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LA 시의회, Measure ULA(mansion tax) 면제 관련 주민투표 발의안을 만장일치로 보류(7/1), 신규 멀티패밀리 개발 불확실성 여전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LA시 Fourth &amp; Central $2B 복합개발 승인 등 대형 프로젝트는 진행되나, ULA로 인한 개발사 관망세는 지속</w:t>
      </w:r>
    </w:p>
    <w:p>
      <w:r>
        <w:rPr>
          <w:rFonts w:ascii="Noto Sans KR" w:hAnsi="Noto Sans KR" w:eastAsia="Noto Sans KR"/>
          <w:b/>
          <w:i w:val="0"/>
          <w:sz w:val="20"/>
        </w:rPr>
        <w:t>Trump 행정부 주거법안 및 이민정책 영향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21st Century Road to Housing Bill이 트럼프 대통령 책상에 계류 중이나, 업계는 "기대만큼의 게임체인저는 아니다"는 평가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Harvard Joint Center 보고서: 제한적 이민정책으로 주거 수요 감소하나 어포더블 공급 부족 문제는 미해결</w:t>
      </w:r>
    </w:p>
    <w:p>
      <w:r>
        <w:rPr>
          <w:rFonts w:ascii="Noto Sans KR" w:hAnsi="Noto Sans KR" w:eastAsia="Noto Sans KR"/>
          <w:b/>
          <w:i w:val="0"/>
          <w:sz w:val="20"/>
        </w:rPr>
        <w:t>주별 규제 환경 변화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매사추세츠: 주 대법원이 임대료 통제(rent control) 정책 주민투표 차단, 멀티패밀리 투자심리 회복 신호 ("We dodged a bullet")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캘리포니아 SB 79 발효: 주거 관련 추가 규제 시행으로 개발사 정책 리스크 관리 필요성 증대</w:t>
      </w:r>
    </w:p>
    <w:p>
      <w:r>
        <w:rPr>
          <w:rFonts w:ascii="Noto Sans KR" w:hAnsi="Noto Sans KR" w:eastAsia="Noto Sans KR"/>
          <w:b/>
          <w:i w:val="0"/>
          <w:sz w:val="20"/>
        </w:rPr>
        <w:t>대학 안전·다양성 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USF, 학생 살인사건 후 오프캠퍼스 주거 안전기준 강화 발표 / Trump 행정부, 대학 내 인종기반 affinity housing 금지 압력 증대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학생주거 운영사 입장에서 안전·보안 투자 및 컴플라이언스 비용 증가 예상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r>
        <w:rPr>
          <w:rFonts w:ascii="Noto Sans KR" w:hAnsi="Noto Sans KR" w:eastAsia="Noto Sans KR"/>
          <w:b/>
          <w:i w:val="0"/>
          <w:sz w:val="20"/>
        </w:rPr>
        <w:t>대형 펀드 레이징 및 자본 이동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Starwood Capital, $10.2B opportunistic fund 결성 완료 (주거·데이터센터·산업·호스피탤리티 다각화, 20개국 투자자 참여)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Centerbridge Partners, Merritt Properties 지분 $750M 투자로 가족경영 개발사와 대형 PE 파트너십 사례 추가</w:t>
      </w:r>
    </w:p>
    <w:p>
      <w:r>
        <w:rPr>
          <w:rFonts w:ascii="Noto Sans KR" w:hAnsi="Noto Sans KR" w:eastAsia="Noto Sans KR"/>
          <w:b/>
          <w:i w:val="0"/>
          <w:sz w:val="20"/>
        </w:rPr>
        <w:t>멀티패밀리 거래 활성화 조짐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Inland Real Estate Group, 콜로라도 Lakewood Westlink at Oak Station 336유닛을 $71.5M 매각 (2016년 $63M 취득 대비 13.5% 상승)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Waterton Residential, 플로리다 Pembroke Pines The Landings 296유닛 $80.5M 인수 / Northeastern University, 보스턴 East Village 기숙사 $169M 매입</w:t>
      </w:r>
    </w:p>
    <w:p>
      <w:r>
        <w:rPr>
          <w:rFonts w:ascii="Noto Sans KR" w:hAnsi="Noto Sans KR" w:eastAsia="Noto Sans KR"/>
          <w:b/>
          <w:i w:val="0"/>
          <w:sz w:val="20"/>
        </w:rPr>
        <w:t>건설금융 및 리파이낸싱 딜 급증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DLP Real Estate Capital, 휴스턴 605유닛 포트폴리오 $118M 리파이낸싱 (LoanCore Capital)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Dwight Capital, Corpus Christi 두 개 단지 총 $96M HUD 223(f) 리파이낸싱 완료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Focus-Bradford Allen JV, 탬파 메트로 275 Fifth St. 프로젝트 $135M 건설금융 확보</w:t>
      </w:r>
    </w:p>
    <w:p>
      <w:r>
        <w:rPr>
          <w:rFonts w:ascii="Noto Sans KR" w:hAnsi="Noto Sans KR" w:eastAsia="Noto Sans KR"/>
          <w:b/>
          <w:i w:val="0"/>
          <w:sz w:val="20"/>
        </w:rPr>
        <w:t>REIT 및 기관투자 동향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DWS Group, 미국 non-traded REIT에서 환매요청의 30% 이상 미충족, 유동성 리스크 부각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JLL Income Property Trust, 멀티패밀리 비중 감소하며 산업시설(38%, $2.8B)로 포트폴리오 재조정 중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반도체·빅테크 매도 여파로 투자자들 REITs 등 현금흐름 안정적 부동산 섹터로 자금 이동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r>
        <w:rPr>
          <w:rFonts w:ascii="Noto Sans KR" w:hAnsi="Noto Sans KR" w:eastAsia="Noto Sans KR"/>
          <w:b/>
          <w:i w:val="0"/>
          <w:sz w:val="20"/>
        </w:rPr>
        <w:t>BTR(Build-to-Rent) 전략 기회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Texas(오스틴, 맥키니), Florida(마이애미, 탬파) 등 선벨트 지역에서 대형 멀티패밀리 공급 지속 확대 중이나, 오피스-주거 컨버전 및 55+ 시장은 경쟁 덜한 니치로 부상 → 우미글로벌은 대학타운 외곽 또는 교외 BTR 단지 개발 파트너십 검토 가능</w:t>
      </w:r>
    </w:p>
    <w:p>
      <w:r>
        <w:rPr>
          <w:rFonts w:ascii="Noto Sans KR" w:hAnsi="Noto Sans KR" w:eastAsia="Noto Sans KR"/>
          <w:b/>
          <w:i w:val="0"/>
          <w:sz w:val="20"/>
        </w:rPr>
        <w:t>Student Housing 파트너십 확대 전략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Core Spaces, Landmark Properties 등 전문 개발사들이 기관투자자(CrossHarbor, Pacific Western Bank) 및 대학과의 장기 파트너십 구조로 대규모 프로젝트 수행 → 우미는 중소규모(300~500 bed) 대학 인근 프로젝트의 Co-GP 또는 자금조달 파트너로 진입 가능성 타진 필요</w:t>
      </w:r>
    </w:p>
    <w:p>
      <w:r>
        <w:rPr>
          <w:rFonts w:ascii="Noto Sans KR" w:hAnsi="Noto Sans KR" w:eastAsia="Noto Sans KR"/>
          <w:b/>
          <w:i w:val="0"/>
          <w:sz w:val="20"/>
        </w:rPr>
        <w:t>GP 파트너십 및 금융구조 다각화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Starwood $10B 펀드, Centerbridge-Merritt 딜 사례처럼 글로벌 자본과 로컬 개발사 간 JV 트렌드 뚜렷 → 우미글로벌은 한국 기관자본 연계한 GP equity 공동출자 모델 또는 브리지론 제공 구조 검토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HUD 223(f), construction loan 시장의 경쟁 완화(금리 안정화 예상)로 저렴한 금융비용 활용 가능 시기 진입</w:t>
      </w:r>
    </w:p>
    <w:p>
      <w:r>
        <w:rPr>
          <w:rFonts w:ascii="Noto Sans KR" w:hAnsi="Noto Sans KR" w:eastAsia="Noto Sans KR"/>
          <w:b/>
          <w:i w:val="0"/>
          <w:sz w:val="20"/>
        </w:rPr>
        <w:t>정책 리스크 헤지 필수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LA Measure ULA, 매사추세츠 rent control 논란, Trump 행정부 이민·대학정책 등 주·연방 차원 규제 변동성 지속 → 시장 진입 전 법률·세무 자문 강화 및 정책 변화 민감도 낮은 중소도시(세컨더리 마켓) 우선 검토 전략 필요</w:t>
      </w:r>
    </w:p>
    <w:p>
      <w:r>
        <w:rPr>
          <w:rFonts w:ascii="Noto Sans KR" w:hAnsi="Noto Sans KR" w:eastAsia="Noto Sans KR"/>
          <w:b/>
          <w:i w:val="0"/>
          <w:sz w:val="20"/>
        </w:rPr>
        <w:t>오피스-주거 컨버전 및 ESG 연계 기회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  <w:t>Kennedy Wilson의 LA World Trade Center 4,000유닛 어포더블 전환처럼 리포지셔닝 프로젝트가 ESG 임팩트 + 공공지원 결합 → 우미는 한국 ESG 펀드 자금과 미국 로컬 개발사 협업으로 임팩트 투자 포트폴리오 구축 가능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작성자:</w:t>
      </w:r>
      <w:r>
        <w:rPr>
          <w:rFonts w:ascii="Noto Sans KR" w:hAnsi="Noto Sans KR" w:eastAsia="Noto Sans KR"/>
          <w:b w:val="0"/>
          <w:i w:val="0"/>
          <w:sz w:val="20"/>
        </w:rPr>
        <w:t xml:space="preserve"> 우미글로벌 해외사업팀 미국 주거 리서치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보고일:</w:t>
      </w:r>
      <w:r>
        <w:rPr>
          <w:rFonts w:ascii="Noto Sans KR" w:hAnsi="Noto Sans KR" w:eastAsia="Noto Sans KR"/>
          <w:b w:val="0"/>
          <w:i w:val="0"/>
          <w:sz w:val="20"/>
        </w:rPr>
        <w:t xml:space="preserve"> 2026년 7월 7일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7월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