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Noto Sans KR" w:hAnsi="Noto Sans KR" w:eastAsia="Noto Sans KR"/>
          <w:b/>
          <w:i w:val="0"/>
          <w:color w:val="1B3A5C"/>
          <w:sz w:val="32"/>
        </w:rPr>
        <w:t>우미글로벌 해외사업팀</w:t>
      </w:r>
    </w:p>
    <w:p/>
    <w:p>
      <w:pPr>
        <w:jc w:val="center"/>
      </w:pPr>
      <w:r>
        <w:rPr>
          <w:rFonts w:ascii="Noto Sans KR" w:hAnsi="Noto Sans KR" w:eastAsia="Noto Sans KR"/>
          <w:b/>
          <w:i w:val="0"/>
          <w:sz w:val="40"/>
        </w:rPr>
        <w:t>미국 주거시장 주간 인텔리전스 리포트</w:t>
      </w:r>
    </w:p>
    <w:p/>
    <w:p>
      <w:pPr>
        <w:jc w:val="center"/>
      </w:pPr>
      <w:r>
        <w:rPr>
          <w:rFonts w:ascii="Noto Sans KR" w:hAnsi="Noto Sans KR" w:eastAsia="Noto Sans KR"/>
          <w:b w:val="0"/>
          <w:i w:val="0"/>
          <w:color w:val="999999"/>
          <w:sz w:val="20"/>
        </w:rPr>
        <w:t>기간: 2026-09-14 ~ 2026-09-21</w:t>
      </w:r>
    </w:p>
    <w:p/>
    <w:p>
      <w:pPr>
        <w:jc w:val="center"/>
      </w:pPr>
      <w:r>
        <w:rPr>
          <w:rFonts w:ascii="Noto Sans KR" w:hAnsi="Noto Sans KR" w:eastAsia="Noto Sans KR"/>
          <w:b w:val="0"/>
          <w:i w:val="0"/>
          <w:color w:val="999999"/>
          <w:sz w:val="20"/>
        </w:rPr>
        <w:t>작성일: 2026년 09월 21일  |  해외사업팀</w:t>
      </w:r>
    </w:p>
    <w:p>
      <w:r>
        <w:br w:type="page"/>
      </w:r>
    </w:p>
    <w:p>
      <w:pPr>
        <w:pBdr>
          <w:bottom w:val="single" w:sz="4" w:space="1" w:color="1B3A5C"/>
        </w:pBdr>
      </w:pPr>
      <w:r>
        <w:rPr>
          <w:rFonts w:ascii="Noto Sans KR" w:hAnsi="Noto Sans KR" w:eastAsia="Noto Sans KR"/>
          <w:b/>
          <w:i w:val="0"/>
          <w:color w:val="1B3A5C"/>
          <w:sz w:val="28"/>
        </w:rPr>
        <w:t>🇺🇸 미국 주거시장 인텔리전스 리포트</w:t>
      </w:r>
    </w:p>
    <w:p>
      <w:r>
        <w:rPr>
          <w:rFonts w:ascii="Noto Sans KR" w:hAnsi="Noto Sans KR" w:eastAsia="Noto Sans KR"/>
          <w:b/>
          <w:i w:val="0"/>
          <w:sz w:val="20"/>
        </w:rPr>
        <w:t>기간: 2026년 9월 14일 ~ 21일 | 작성: 우미글로벌 해외사업팀</w:t>
      </w:r>
    </w:p>
    <w:p>
      <w:pPr>
        <w:pBdr>
          <w:bottom w:val="single" w:sz="4" w:space="1" w:color="1B3A5C"/>
        </w:pBdr>
      </w:pPr>
    </w:p>
    <w:p/>
    <w:p>
      <w:pPr>
        <w:pBdr>
          <w:bottom w:val="single" w:sz="4" w:space="1" w:color="2E75B6"/>
        </w:pBdr>
      </w:pPr>
      <w:r>
        <w:rPr>
          <w:rFonts w:ascii="Noto Sans KR" w:hAnsi="Noto Sans KR" w:eastAsia="Noto Sans KR"/>
          <w:b/>
          <w:i w:val="0"/>
          <w:color w:val="2E75B6"/>
          <w:sz w:val="26"/>
        </w:rPr>
        <w:t>1. 개발 현황</w:t>
      </w:r>
    </w:p>
    <w:p>
      <w:pPr>
        <w:pStyle w:val="ListBullet"/>
        <w:ind w:left="360"/>
      </w:pPr>
      <w:r>
        <w:rPr>
          <w:rFonts w:ascii="Noto Sans KR" w:hAnsi="Noto Sans KR" w:eastAsia="Noto Sans KR"/>
          <w:b w:val="0"/>
          <w:i w:val="0"/>
          <w:sz w:val="20"/>
        </w:rPr>
      </w:r>
      <w:r>
        <w:rPr>
          <w:rFonts w:ascii="Noto Sans KR" w:hAnsi="Noto Sans KR" w:eastAsia="Noto Sans KR"/>
          <w:b/>
          <w:i w:val="0"/>
          <w:sz w:val="20"/>
        </w:rPr>
        <w:t>스튜던트 하우징 대규모 착공 집중:</w:t>
      </w:r>
      <w:r>
        <w:rPr>
          <w:rFonts w:ascii="Noto Sans KR" w:hAnsi="Noto Sans KR" w:eastAsia="Noto Sans KR"/>
          <w:b w:val="0"/>
          <w:i w:val="0"/>
          <w:sz w:val="20"/>
        </w:rPr>
        <w:t xml:space="preserve"> University of Arizona($247M, 1,300+ beds), USF 탬파 캠퍼스($500M, 복합개발), U of San Diego Presidio Terrace($230M, 321유닛/700beds), Ohio State 인근 Mass Timber 프로젝트 등 이번 주에만 5건 이상의 캠퍼스 연계 주거 개발이 착공·완공 단계에 진입. 캘리포니아는 침대당 건설비 $400K에 달하는 공급 병목 이슈 지속</w:t>
      </w:r>
    </w:p>
    <w:p>
      <w:pPr>
        <w:pStyle w:val="ListBullet"/>
        <w:ind w:left="360"/>
      </w:pPr>
      <w:r>
        <w:rPr>
          <w:rFonts w:ascii="Noto Sans KR" w:hAnsi="Noto Sans KR" w:eastAsia="Noto Sans KR"/>
          <w:b w:val="0"/>
          <w:i w:val="0"/>
          <w:sz w:val="20"/>
        </w:rPr>
      </w:r>
      <w:r>
        <w:rPr>
          <w:rFonts w:ascii="Noto Sans KR" w:hAnsi="Noto Sans KR" w:eastAsia="Noto Sans KR"/>
          <w:b/>
          <w:i w:val="0"/>
          <w:sz w:val="20"/>
        </w:rPr>
        <w:t>멀티패밀리 착공은 둔화, 프리미엄 도심 프로젝트는 계속:</w:t>
      </w:r>
      <w:r>
        <w:rPr>
          <w:rFonts w:ascii="Noto Sans KR" w:hAnsi="Noto Sans KR" w:eastAsia="Noto Sans KR"/>
          <w:b w:val="0"/>
          <w:i w:val="0"/>
          <w:sz w:val="20"/>
        </w:rPr>
        <w:t xml:space="preserve"> 전국 8월 멀티패밀리 착공 건수 전년 대비 –16%, 인허가·완공도 동반 하락. 단 시카고 West Loop(380유닛, $130M 공사비), DC 다운타운(299유닛, $92M), West Palm Beach(465유닛 1단계/총 898유닛), NYC Upper West Side(340유닛) 등 도심 프리미엄 입지의 신규 착공은 지속</w:t>
      </w:r>
    </w:p>
    <w:p>
      <w:pPr>
        <w:pStyle w:val="ListBullet"/>
        <w:ind w:left="360"/>
      </w:pPr>
      <w:r>
        <w:rPr>
          <w:rFonts w:ascii="Noto Sans KR" w:hAnsi="Noto Sans KR" w:eastAsia="Noto Sans KR"/>
          <w:b w:val="0"/>
          <w:i w:val="0"/>
          <w:sz w:val="20"/>
        </w:rPr>
      </w:r>
      <w:r>
        <w:rPr>
          <w:rFonts w:ascii="Noto Sans KR" w:hAnsi="Noto Sans KR" w:eastAsia="Noto Sans KR"/>
          <w:b/>
          <w:i w:val="0"/>
          <w:sz w:val="20"/>
        </w:rPr>
        <w:t>BTR·액티브 어덜트 완공·리파이낸싱 활발:</w:t>
      </w:r>
      <w:r>
        <w:rPr>
          <w:rFonts w:ascii="Noto Sans KR" w:hAnsi="Noto Sans KR" w:eastAsia="Noto Sans KR"/>
          <w:b w:val="0"/>
          <w:i w:val="0"/>
          <w:sz w:val="20"/>
        </w:rPr>
        <w:t xml:space="preserve"> 플로리다 Wildwood EDEN Magnolia Village(130유닛 BTR 신규 완공 후 리파이낸싱), Jacksonville RISE at Glen Kernan Park(럭셔리 액티브 어덜트, $101M 브릿지론 조달) 등 선벨트 중심 BTR·시니어 섹터 프로젝트 완공 후 즉각 자본 재구성 움직임 가시화</w:t>
      </w:r>
    </w:p>
    <w:p>
      <w:pPr>
        <w:pStyle w:val="ListBullet"/>
        <w:ind w:left="360"/>
      </w:pPr>
      <w:r>
        <w:rPr>
          <w:rFonts w:ascii="Noto Sans KR" w:hAnsi="Noto Sans KR" w:eastAsia="Noto Sans KR"/>
          <w:b w:val="0"/>
          <w:i w:val="0"/>
          <w:sz w:val="20"/>
        </w:rPr>
      </w:r>
      <w:r>
        <w:rPr>
          <w:rFonts w:ascii="Noto Sans KR" w:hAnsi="Noto Sans KR" w:eastAsia="Noto Sans KR"/>
          <w:b/>
          <w:i w:val="0"/>
          <w:sz w:val="20"/>
        </w:rPr>
        <w:t>캠퍼스 외 도심 혼합개발 확대:</w:t>
      </w:r>
      <w:r>
        <w:rPr>
          <w:rFonts w:ascii="Noto Sans KR" w:hAnsi="Noto Sans KR" w:eastAsia="Noto Sans KR"/>
          <w:b w:val="0"/>
          <w:i w:val="0"/>
          <w:sz w:val="20"/>
        </w:rPr>
        <w:t xml:space="preserve"> Rice University($170M, 24층, 리테일 포함), Stanford($100M+ 워크포스·스튜던트 하우징 복합), Ole Miss($1.3B, 170개 건설 프로젝트 동시 진행) 등 대학 주도 부동산 개발이 대규모 캠퍼스 재편 프로그램으로 격상</w:t>
      </w:r>
    </w:p>
    <w:p>
      <w:pPr>
        <w:pBdr>
          <w:bottom w:val="single" w:sz="4" w:space="1" w:color="1B3A5C"/>
        </w:pBdr>
      </w:pPr>
    </w:p>
    <w:p/>
    <w:p>
      <w:pPr>
        <w:pBdr>
          <w:bottom w:val="single" w:sz="4" w:space="1" w:color="2E75B6"/>
        </w:pBdr>
      </w:pPr>
      <w:r>
        <w:rPr>
          <w:rFonts w:ascii="Noto Sans KR" w:hAnsi="Noto Sans KR" w:eastAsia="Noto Sans KR"/>
          <w:b/>
          <w:i w:val="0"/>
          <w:color w:val="2E75B6"/>
          <w:sz w:val="26"/>
        </w:rPr>
        <w:t>2. 정책·이슈</w:t>
      </w:r>
    </w:p>
    <w:p>
      <w:pPr>
        <w:pStyle w:val="ListBullet"/>
        <w:ind w:left="360"/>
      </w:pPr>
      <w:r>
        <w:rPr>
          <w:rFonts w:ascii="Noto Sans KR" w:hAnsi="Noto Sans KR" w:eastAsia="Noto Sans KR"/>
          <w:b w:val="0"/>
          <w:i w:val="0"/>
          <w:sz w:val="20"/>
        </w:rPr>
      </w:r>
      <w:r>
        <w:rPr>
          <w:rFonts w:ascii="Noto Sans KR" w:hAnsi="Noto Sans KR" w:eastAsia="Noto Sans KR"/>
          <w:b/>
          <w:i w:val="0"/>
          <w:sz w:val="20"/>
        </w:rPr>
        <w:t>연준 3년 만의 금리 인상 단행(+25bp):</w:t>
      </w:r>
      <w:r>
        <w:rPr>
          <w:rFonts w:ascii="Noto Sans KR" w:hAnsi="Noto Sans KR" w:eastAsia="Noto Sans KR"/>
          <w:b w:val="0"/>
          <w:i w:val="0"/>
          <w:sz w:val="20"/>
        </w:rPr>
        <w:t xml:space="preserve"> 9월 15~16일 FOMC에서 기준금리 인상 결정, 10년물 국채수익률 5%대 재진입. 상업용 부동산 자본비용 전반 상승 압박 재부각. 멀티패밀리 업계는 "현재의 침체가 장기화될 것"이라는 우려 표명(Eastham Capital)</w:t>
      </w:r>
    </w:p>
    <w:p>
      <w:pPr>
        <w:pStyle w:val="ListBullet"/>
        <w:ind w:left="360"/>
      </w:pPr>
      <w:r>
        <w:rPr>
          <w:rFonts w:ascii="Noto Sans KR" w:hAnsi="Noto Sans KR" w:eastAsia="Noto Sans KR"/>
          <w:b w:val="0"/>
          <w:i w:val="0"/>
          <w:sz w:val="20"/>
        </w:rPr>
      </w:r>
      <w:r>
        <w:rPr>
          <w:rFonts w:ascii="Noto Sans KR" w:hAnsi="Noto Sans KR" w:eastAsia="Noto Sans KR"/>
          <w:b/>
          <w:i w:val="0"/>
          <w:sz w:val="20"/>
        </w:rPr>
        <w:t>DC RealPage 담합 소송 합의:</w:t>
      </w:r>
      <w:r>
        <w:rPr>
          <w:rFonts w:ascii="Noto Sans KR" w:hAnsi="Noto Sans KR" w:eastAsia="Noto Sans KR"/>
          <w:b w:val="0"/>
          <w:i w:val="0"/>
          <w:sz w:val="20"/>
        </w:rPr>
        <w:t xml:space="preserve"> MAA·JBG Smith가 DC 법무장관의 렌트 인플레이션 담합 소송에 합계 $9.3M 배상 합의. AI 기반 임대료 조율 소프트웨어에 대한 규제 리스크가 현실화, 대형 REIT 리스크 관리 부담 증가</w:t>
      </w:r>
    </w:p>
    <w:p>
      <w:pPr>
        <w:pStyle w:val="ListBullet"/>
        <w:ind w:left="360"/>
      </w:pPr>
      <w:r>
        <w:rPr>
          <w:rFonts w:ascii="Noto Sans KR" w:hAnsi="Noto Sans KR" w:eastAsia="Noto Sans KR"/>
          <w:b w:val="0"/>
          <w:i w:val="0"/>
          <w:sz w:val="20"/>
        </w:rPr>
      </w:r>
      <w:r>
        <w:rPr>
          <w:rFonts w:ascii="Noto Sans KR" w:hAnsi="Noto Sans KR" w:eastAsia="Noto Sans KR"/>
          <w:b/>
          <w:i w:val="0"/>
          <w:sz w:val="20"/>
        </w:rPr>
        <w:t>보스턴 Wu 시장의 주택 인센티브 제안:</w:t>
      </w:r>
      <w:r>
        <w:rPr>
          <w:rFonts w:ascii="Noto Sans KR" w:hAnsi="Noto Sans KR" w:eastAsia="Noto Sans KR"/>
          <w:b w:val="0"/>
          <w:i w:val="0"/>
          <w:sz w:val="20"/>
        </w:rPr>
        <w:t xml:space="preserve"> 착공 지연 프로젝트에 $31.5M 세금 감면 + $100M 개발 인센티브 프로그램 신설 추진(약 1,400유닛 공급 목표). 고금리·고공사비 환경에서 지자체 주도 공급 촉진 정책의 확산 선례</w:t>
      </w:r>
    </w:p>
    <w:p>
      <w:pPr>
        <w:pStyle w:val="ListBullet"/>
        <w:ind w:left="360"/>
      </w:pPr>
      <w:r>
        <w:rPr>
          <w:rFonts w:ascii="Noto Sans KR" w:hAnsi="Noto Sans KR" w:eastAsia="Noto Sans KR"/>
          <w:b w:val="0"/>
          <w:i w:val="0"/>
          <w:sz w:val="20"/>
        </w:rPr>
      </w:r>
      <w:r>
        <w:rPr>
          <w:rFonts w:ascii="Noto Sans KR" w:hAnsi="Noto Sans KR" w:eastAsia="Noto Sans KR"/>
          <w:b/>
          <w:i w:val="0"/>
          <w:sz w:val="20"/>
        </w:rPr>
        <w:t>남플로리다 NIMBY 압력 증가:</w:t>
      </w:r>
      <w:r>
        <w:rPr>
          <w:rFonts w:ascii="Noto Sans KR" w:hAnsi="Noto Sans KR" w:eastAsia="Noto Sans KR"/>
          <w:b w:val="0"/>
          <w:i w:val="0"/>
          <w:sz w:val="20"/>
        </w:rPr>
        <w:t xml:space="preserve"> 개발 친화적이었던 웨스트팜비치 등 선벨트 핵심 도시에서 주민 반발 강화. 공급 확대 기조와 지역사회 저항 간 긴장 고조, 인허가 리스크 재평가 필요</w:t>
      </w:r>
    </w:p>
    <w:p>
      <w:pPr>
        <w:pBdr>
          <w:bottom w:val="single" w:sz="4" w:space="1" w:color="1B3A5C"/>
        </w:pBdr>
      </w:pPr>
    </w:p>
    <w:p/>
    <w:p>
      <w:pPr>
        <w:pBdr>
          <w:bottom w:val="single" w:sz="4" w:space="1" w:color="2E75B6"/>
        </w:pBdr>
      </w:pPr>
      <w:r>
        <w:rPr>
          <w:rFonts w:ascii="Noto Sans KR" w:hAnsi="Noto Sans KR" w:eastAsia="Noto Sans KR"/>
          <w:b/>
          <w:i w:val="0"/>
          <w:color w:val="2E75B6"/>
          <w:sz w:val="26"/>
        </w:rPr>
        <w:t>3. 거래현황</w:t>
      </w:r>
    </w:p>
    <w:p>
      <w:pPr>
        <w:pStyle w:val="ListBullet"/>
        <w:ind w:left="360"/>
      </w:pPr>
      <w:r>
        <w:rPr>
          <w:rFonts w:ascii="Noto Sans KR" w:hAnsi="Noto Sans KR" w:eastAsia="Noto Sans KR"/>
          <w:b w:val="0"/>
          <w:i w:val="0"/>
          <w:sz w:val="20"/>
        </w:rPr>
      </w:r>
      <w:r>
        <w:rPr>
          <w:rFonts w:ascii="Noto Sans KR" w:hAnsi="Noto Sans KR" w:eastAsia="Noto Sans KR"/>
          <w:b/>
          <w:i w:val="0"/>
          <w:sz w:val="20"/>
        </w:rPr>
        <w:t>멀티패밀리 대형 M&amp;A·포트폴리오 거래 활발:</w:t>
      </w:r>
      <w:r>
        <w:rPr>
          <w:rFonts w:ascii="Noto Sans KR" w:hAnsi="Noto Sans KR" w:eastAsia="Noto Sans KR"/>
          <w:b w:val="0"/>
          <w:i w:val="0"/>
          <w:sz w:val="20"/>
        </w:rPr>
        <w:t xml:space="preserve"> IRT의 Centerspace 인수(Sun Belt 외 중서부 다각화), Blackstone $1B CMBS 리파이낸싱(7개 주, 6,041유닛), Stewards 사우스 플로리다 멀티패밀리 2건 $240M 인수, 텍사스 ECA 20개 단지 1,576유닛 $101M 포트폴리오 인수 등 대형 플레이어 중심의 규모화 거래 집중</w:t>
      </w:r>
    </w:p>
    <w:p>
      <w:pPr>
        <w:pStyle w:val="ListBullet"/>
        <w:ind w:left="360"/>
      </w:pPr>
      <w:r>
        <w:rPr>
          <w:rFonts w:ascii="Noto Sans KR" w:hAnsi="Noto Sans KR" w:eastAsia="Noto Sans KR"/>
          <w:b w:val="0"/>
          <w:i w:val="0"/>
          <w:sz w:val="20"/>
        </w:rPr>
      </w:r>
      <w:r>
        <w:rPr>
          <w:rFonts w:ascii="Noto Sans KR" w:hAnsi="Noto Sans KR" w:eastAsia="Noto Sans KR"/>
          <w:b/>
          <w:i w:val="0"/>
          <w:sz w:val="20"/>
        </w:rPr>
        <w:t>스튜던트 하우징 기관 자본 유입 가속:</w:t>
      </w:r>
      <w:r>
        <w:rPr>
          <w:rFonts w:ascii="Noto Sans KR" w:hAnsi="Noto Sans KR" w:eastAsia="Noto Sans KR"/>
          <w:b w:val="0"/>
          <w:i w:val="0"/>
          <w:sz w:val="20"/>
        </w:rPr>
        <w:t xml:space="preserve"> GMH+Invesco의 퍼듀대 인근 364beds 포트폴리오 공동인수, Harrison Street+Michaels의 USD 캠퍼스 $230M P3(공공-민간파트너십), UC의 업타운 스튜던트 하우징 $33.2M 직접 매입, 뉴욕계 자본의 그린즈버러 유니버시티 빌리지 $51M 인수 등 기관투자자의 스튜던트 하우징 섹터 집중 매수세 확인</w:t>
      </w:r>
    </w:p>
    <w:p>
      <w:pPr>
        <w:pStyle w:val="ListBullet"/>
        <w:ind w:left="360"/>
      </w:pPr>
      <w:r>
        <w:rPr>
          <w:rFonts w:ascii="Noto Sans KR" w:hAnsi="Noto Sans KR" w:eastAsia="Noto Sans KR"/>
          <w:b w:val="0"/>
          <w:i w:val="0"/>
          <w:sz w:val="20"/>
        </w:rPr>
      </w:r>
      <w:r>
        <w:rPr>
          <w:rFonts w:ascii="Noto Sans KR" w:hAnsi="Noto Sans KR" w:eastAsia="Noto Sans KR"/>
          <w:b/>
          <w:i w:val="0"/>
          <w:sz w:val="20"/>
        </w:rPr>
        <w:t>신규 채무 플랫폼·크레딧 펀드 잇따라 출범:</w:t>
      </w:r>
      <w:r>
        <w:rPr>
          <w:rFonts w:ascii="Noto Sans KR" w:hAnsi="Noto Sans KR" w:eastAsia="Noto Sans KR"/>
          <w:b w:val="0"/>
          <w:i w:val="0"/>
          <w:sz w:val="20"/>
        </w:rPr>
        <w:t xml:space="preserve"> GTIS→Brightshore Capital 리브랜딩($250M 레지덴셜 Debt 플랫폼), Stockdale Capital ($300M 목표 크레딧 플랫폼), Airbnb $250M 주택 건설 파이낸싱 펀드, Starwood Capital 대출 부문 수장 교체(Blackstone 출신 영입) 등 금리 인상 환경에서 오히려 민간 크레딧 공급자 증가</w:t>
      </w:r>
    </w:p>
    <w:p>
      <w:pPr>
        <w:pStyle w:val="ListBullet"/>
        <w:ind w:left="360"/>
      </w:pPr>
      <w:r>
        <w:rPr>
          <w:rFonts w:ascii="Noto Sans KR" w:hAnsi="Noto Sans KR" w:eastAsia="Noto Sans KR"/>
          <w:b w:val="0"/>
          <w:i w:val="0"/>
          <w:sz w:val="20"/>
        </w:rPr>
      </w:r>
      <w:r>
        <w:rPr>
          <w:rFonts w:ascii="Noto Sans KR" w:hAnsi="Noto Sans KR" w:eastAsia="Noto Sans KR"/>
          <w:b/>
          <w:i w:val="0"/>
          <w:sz w:val="20"/>
        </w:rPr>
        <w:t>자산 유형별 매매 가격 양극화:</w:t>
      </w:r>
      <w:r>
        <w:rPr>
          <w:rFonts w:ascii="Noto Sans KR" w:hAnsi="Noto Sans KR" w:eastAsia="Noto Sans KR"/>
          <w:b w:val="0"/>
          <w:i w:val="0"/>
          <w:sz w:val="20"/>
        </w:rPr>
        <w:t xml:space="preserve"> 29th Street Capital의 오로라 아파트 $72.5M 매각(4년 전 매입가 $104M 대비 –30%), 애틀랜타 부실 자산 채권 인수 등 부실·밸류애드 매물 증가. 반면 LA 미라클마일 163유닛 $114M($699K/유닛), 오렌지카운티 371유닛 $153.6M 등 코어 자산은 프리미엄 유지</w:t>
      </w:r>
    </w:p>
    <w:p>
      <w:pPr>
        <w:pBdr>
          <w:bottom w:val="single" w:sz="4" w:space="1" w:color="1B3A5C"/>
        </w:pBdr>
      </w:pPr>
    </w:p>
    <w:p/>
    <w:p>
      <w:pPr>
        <w:pBdr>
          <w:bottom w:val="single" w:sz="4" w:space="1" w:color="2E75B6"/>
        </w:pBdr>
      </w:pPr>
      <w:r>
        <w:rPr>
          <w:rFonts w:ascii="Noto Sans KR" w:hAnsi="Noto Sans KR" w:eastAsia="Noto Sans KR"/>
          <w:b/>
          <w:i w:val="0"/>
          <w:color w:val="2E75B6"/>
          <w:sz w:val="26"/>
        </w:rPr>
        <w:t>4. 시사점</w:t>
      </w:r>
    </w:p>
    <w:p>
      <w:pPr>
        <w:pStyle w:val="ListBullet"/>
        <w:ind w:left="360"/>
      </w:pPr>
      <w:r>
        <w:rPr>
          <w:rFonts w:ascii="Noto Sans KR" w:hAnsi="Noto Sans KR" w:eastAsia="Noto Sans KR"/>
          <w:b w:val="0"/>
          <w:i w:val="0"/>
          <w:sz w:val="20"/>
        </w:rPr>
      </w:r>
      <w:r>
        <w:rPr>
          <w:rFonts w:ascii="Noto Sans KR" w:hAnsi="Noto Sans KR" w:eastAsia="Noto Sans KR"/>
          <w:b/>
          <w:i w:val="0"/>
          <w:sz w:val="20"/>
        </w:rPr>
        <w:t>스튜던트 하우징 P3(공공-민간) 모델이 진입 경로 핵심:</w:t>
      </w:r>
      <w:r>
        <w:rPr>
          <w:rFonts w:ascii="Noto Sans KR" w:hAnsi="Noto Sans KR" w:eastAsia="Noto Sans KR"/>
          <w:b w:val="0"/>
          <w:i w:val="0"/>
          <w:sz w:val="20"/>
        </w:rPr>
        <w:t xml:space="preserve"> Harrison Street-Michaels-USD 구조처럼 대학이 토지를 제공하고 민간이 개발·운영하는 P3 방식은 토지비 부담 없이 안정적 수요 확보 가능. 우미글로벌은 한국 대학 네트워크를 레버리지하거나, 미국 중소 대학과의 P3 협상에 한국계 시공·운영 역량을 패키지로 제안하는 엔트리 전략 검토 권고</w:t>
      </w:r>
    </w:p>
    <w:p>
      <w:pPr>
        <w:pStyle w:val="ListBullet"/>
        <w:ind w:left="360"/>
      </w:pPr>
      <w:r>
        <w:rPr>
          <w:rFonts w:ascii="Noto Sans KR" w:hAnsi="Noto Sans KR" w:eastAsia="Noto Sans KR"/>
          <w:b w:val="0"/>
          <w:i w:val="0"/>
          <w:sz w:val="20"/>
        </w:rPr>
      </w:r>
      <w:r>
        <w:rPr>
          <w:rFonts w:ascii="Noto Sans KR" w:hAnsi="Noto Sans KR" w:eastAsia="Noto Sans KR"/>
          <w:b/>
          <w:i w:val="0"/>
          <w:sz w:val="20"/>
        </w:rPr>
        <w:t>BTR 완공 후 즉시 리파이낸싱 사이클 — 한국 기관 LP 기회 포착:</w:t>
      </w:r>
      <w:r>
        <w:rPr>
          <w:rFonts w:ascii="Noto Sans KR" w:hAnsi="Noto Sans KR" w:eastAsia="Noto Sans KR"/>
          <w:b w:val="0"/>
          <w:i w:val="0"/>
          <w:sz w:val="20"/>
        </w:rPr>
        <w:t xml:space="preserve"> EDEN Magnolia Village, RISE at Glen Kernan Park 사례처럼 선벨트 BTR 프로젝트가 완공 즉시 브릿지론으로 재구성되는 패턴이 반복. 고금리로 전통 은행권 공급이 위축된 틈을 한국 기관투자자(보험사·연기금) 선순위 대출로 공략하는 크레딧 투자 구조 설계 가능</w:t>
      </w:r>
    </w:p>
    <w:p>
      <w:pPr>
        <w:pStyle w:val="ListBullet"/>
        <w:ind w:left="360"/>
      </w:pPr>
      <w:r>
        <w:rPr>
          <w:rFonts w:ascii="Noto Sans KR" w:hAnsi="Noto Sans KR" w:eastAsia="Noto Sans KR"/>
          <w:b w:val="0"/>
          <w:i w:val="0"/>
          <w:sz w:val="20"/>
        </w:rPr>
      </w:r>
      <w:r>
        <w:rPr>
          <w:rFonts w:ascii="Noto Sans KR" w:hAnsi="Noto Sans KR" w:eastAsia="Noto Sans KR"/>
          <w:b/>
          <w:i w:val="0"/>
          <w:sz w:val="20"/>
        </w:rPr>
        <w:t>Brightshore·Stockdale 등 신규 크레딧 플랫폼과 GP 협업 모색:</w:t>
      </w:r>
      <w:r>
        <w:rPr>
          <w:rFonts w:ascii="Noto Sans KR" w:hAnsi="Noto Sans KR" w:eastAsia="Noto Sans KR"/>
          <w:b w:val="0"/>
          <w:i w:val="0"/>
          <w:sz w:val="20"/>
        </w:rPr>
        <w:t xml:space="preserve"> 이번 주에만 3개의 신규 주거 크레딧 플랫폼이 런칭. 이들은 초기 LP·공동 GP 파트너십에 열려 있는 경향. 우미글로벌이 한국 자본을 중간 위험 레이어(메자닌·우선주)로 공급하는 Co-GP 구조로 접근 시, 소수의 대형 딜보다 분산된 크레딧 익스포저 구축에 유리</w:t>
      </w:r>
    </w:p>
    <w:p>
      <w:pPr>
        <w:pStyle w:val="ListBullet"/>
        <w:ind w:left="360"/>
      </w:pPr>
      <w:r>
        <w:rPr>
          <w:rFonts w:ascii="Noto Sans KR" w:hAnsi="Noto Sans KR" w:eastAsia="Noto Sans KR"/>
          <w:b w:val="0"/>
          <w:i w:val="0"/>
          <w:sz w:val="20"/>
        </w:rPr>
      </w:r>
      <w:r>
        <w:rPr>
          <w:rFonts w:ascii="Noto Sans KR" w:hAnsi="Noto Sans KR" w:eastAsia="Noto Sans KR"/>
          <w:b/>
          <w:i w:val="0"/>
          <w:sz w:val="20"/>
        </w:rPr>
        <w:t>금리 인상 환경에서 부실·밸류애드 자산 선별 기회 부상:</w:t>
      </w:r>
      <w:r>
        <w:rPr>
          <w:rFonts w:ascii="Noto Sans KR" w:hAnsi="Noto Sans KR" w:eastAsia="Noto Sans KR"/>
          <w:b w:val="0"/>
          <w:i w:val="0"/>
          <w:sz w:val="20"/>
        </w:rPr>
        <w:t xml:space="preserve"> 29th Street Capital 오로라 사례(–30% 손실 매각)와 애틀랜타 채권 인수 사례처럼, 2022~2023년 고점 매입자들의 강제 매각이 본격화 조짐. 텍사스·선벨트 중소도시 멀티패밀리 부실 매물을 로컬 운영사(ECA 유형)와 공동으로 저가 인수 후 리포지셔닝하는 오퍼튜니스틱 전략 검토 시점</w:t>
      </w:r>
    </w:p>
    <w:p>
      <w:pPr>
        <w:pBdr>
          <w:bottom w:val="single" w:sz="4" w:space="1" w:color="1B3A5C"/>
        </w:pBdr>
      </w:pPr>
    </w:p>
    <w:p>
      <w:r>
        <w:rPr>
          <w:rFonts w:ascii="Noto Sans KR" w:hAnsi="Noto Sans KR" w:eastAsia="Noto Sans KR"/>
          <w:b w:val="0"/>
          <w:i w:val="0"/>
          <w:sz w:val="20"/>
        </w:rPr>
        <w:t>*본 리포트는 수집된 437건 뉴스 기사 중 주요 기사를 선별·분석하여 작성되었습니다. 우미글로벌 해외사업팀 내부 참고용.*</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sz w:val="18"/>
      </w:rPr>
      <w:fldChar w:fldCharType="begin"/>
      <w:instrText>PAGE</w:instrText>
      <w:fldChar w:fldCharType="separate"/>
      <w:fldChar w:fldCharType="end"/>
    </w:r>
    <w:r>
      <w:tab/>
      <w:tab/>
    </w:r>
    <w:r>
      <w:rPr>
        <w:rFonts w:ascii="Noto Sans KR" w:hAnsi="Noto Sans KR" w:eastAsia="Noto Sans KR"/>
        <w:b w:val="0"/>
        <w:i w:val="0"/>
        <w:color w:val="999999"/>
        <w:sz w:val="18"/>
      </w:rPr>
      <w:t>2026년 9월</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1B3A5C"/>
      </w:pBdr>
    </w:pPr>
    <w:r>
      <w:rPr>
        <w:rFonts w:ascii="Noto Sans KR" w:hAnsi="Noto Sans KR" w:eastAsia="Noto Sans KR"/>
        <w:b w:val="0"/>
        <w:i w:val="0"/>
        <w:color w:val="999999"/>
        <w:sz w:val="20"/>
      </w:rPr>
      <w:t>우미글로벌 해외사업팀 | 대외비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