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KR" w:hAnsi="Noto Sans KR" w:eastAsia="Noto Sans KR"/>
          <w:b/>
          <w:i w:val="0"/>
          <w:color w:val="1B3A5C"/>
          <w:sz w:val="32"/>
        </w:rPr>
        <w:t>우미글로벌 해외사업팀</w:t>
      </w:r>
    </w:p>
    <w:p/>
    <w:p>
      <w:pPr>
        <w:jc w:val="center"/>
      </w:pPr>
      <w:r>
        <w:rPr>
          <w:rFonts w:ascii="Noto Sans KR" w:hAnsi="Noto Sans KR" w:eastAsia="Noto Sans KR"/>
          <w:b/>
          <w:i w:val="0"/>
          <w:sz w:val="40"/>
        </w:rPr>
        <w:t>미국 주거시장 주간 인텔리전스 리포트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기간: 2026-09-21 ~ 2026-09-28</w:t>
      </w:r>
    </w:p>
    <w:p/>
    <w:p>
      <w:pPr>
        <w:jc w:val="center"/>
      </w:pPr>
      <w:r>
        <w:rPr>
          <w:rFonts w:ascii="Noto Sans KR" w:hAnsi="Noto Sans KR" w:eastAsia="Noto Sans KR"/>
          <w:b w:val="0"/>
          <w:i w:val="0"/>
          <w:color w:val="999999"/>
          <w:sz w:val="20"/>
        </w:rPr>
        <w:t>작성일: 2026년 09월 28일  |  해외사업팀</w:t>
      </w:r>
    </w:p>
    <w:p>
      <w:r>
        <w:br w:type="page"/>
      </w:r>
    </w:p>
    <w:p>
      <w:pPr>
        <w:pBdr>
          <w:bottom w:val="single" w:sz="4" w:space="1" w:color="1B3A5C"/>
        </w:pBdr>
      </w:pPr>
      <w:r>
        <w:rPr>
          <w:rFonts w:ascii="Noto Sans KR" w:hAnsi="Noto Sans KR" w:eastAsia="Noto Sans KR"/>
          <w:b/>
          <w:i w:val="0"/>
          <w:color w:val="1B3A5C"/>
          <w:sz w:val="28"/>
        </w:rPr>
        <w:t>🇺🇸 미국 주거시장 인텔리전스 리포트</w:t>
      </w:r>
    </w:p>
    <w:p>
      <w:r>
        <w:rPr>
          <w:rFonts w:ascii="Noto Sans KR" w:hAnsi="Noto Sans KR" w:eastAsia="Noto Sans KR"/>
          <w:b/>
          <w:i w:val="0"/>
          <w:sz w:val="20"/>
        </w:rPr>
        <w:t>기간: 2026.09.21 – 09.28 | 작성: 우미글로벌 해외사업팀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1. 개발 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멀티패밀리 대형 착공 집중</w:t>
      </w:r>
      <w:r>
        <w:rPr>
          <w:rFonts w:ascii="Noto Sans KR" w:hAnsi="Noto Sans KR" w:eastAsia="Noto Sans KR"/>
          <w:b w:val="0"/>
          <w:i w:val="0"/>
          <w:sz w:val="20"/>
        </w:rPr>
        <w:t>: 뉴저지 Jersey City 555 Summit Ave. (873유닛, $310M 공사비 조달), 워싱턴 DC 1999 Eye Street (434유닛, $175M 공사 파이낸싱), 샌안토니오 Grove Place (296유닛) 등 주요 MSA에서 고급형 멀티패밀리 착공이 이어지는 가운데, 공급 위축 우려 속에도 중심부·교통 요충지 중심의 선별적 착공이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스튜던트 하우징 신규 착공 급증</w:t>
      </w:r>
      <w:r>
        <w:rPr>
          <w:rFonts w:ascii="Noto Sans KR" w:hAnsi="Noto Sans KR" w:eastAsia="Noto Sans KR"/>
          <w:b w:val="0"/>
          <w:i w:val="0"/>
          <w:sz w:val="20"/>
        </w:rPr>
        <w:t>: VERVE Lexington (켄터키대 인근, 784베드), Compton College (캘리포니아, $83M), 버밍엄 $270M 복합 학생 주거 프로젝트 등 전국 대학 캠퍼스 인근 신규 착공이 집중되며 섹터 모멘텀 확인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오피스 → 레지덴셜 전환(Conversion) 가속</w:t>
      </w:r>
      <w:r>
        <w:rPr>
          <w:rFonts w:ascii="Noto Sans KR" w:hAnsi="Noto Sans KR" w:eastAsia="Noto Sans KR"/>
          <w:b w:val="0"/>
          <w:i w:val="0"/>
          <w:sz w:val="20"/>
        </w:rPr>
        <w:t>: 뉴욕 맨해튼 100 Gold Street (4,000유닛 전환 계획 공공심의 개시), 시카고 500 N. Michigan Ave. (384유닛 혼합소득, $113M 조달)로 대형 전환 프로젝트가 동부·중서부 핵심 도심에서 동시 진행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BTR·액티브어덜트 인프라 완공</w:t>
      </w:r>
      <w:r>
        <w:rPr>
          <w:rFonts w:ascii="Noto Sans KR" w:hAnsi="Noto Sans KR" w:eastAsia="Noto Sans KR"/>
          <w:b w:val="0"/>
          <w:i w:val="0"/>
          <w:sz w:val="20"/>
        </w:rPr>
        <w:t>: 텍사스 Riceland 마스터플랜 커뮤니티 내 8,229 sqft 규모 어메니티 센터 완공(그랜드 오프닝), 플로리다 잭슨빌 RISE at Glen Kernan Park 액티브어덜트 커뮤니티 신규 딜리버리 확인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공사비 상승·파이낸싱 부담에 따른 프로젝트 지연</w:t>
      </w:r>
      <w:r>
        <w:rPr>
          <w:rFonts w:ascii="Noto Sans KR" w:hAnsi="Noto Sans KR" w:eastAsia="Noto Sans KR"/>
          <w:b w:val="0"/>
          <w:i w:val="0"/>
          <w:sz w:val="20"/>
        </w:rPr>
        <w:t>: 디젤·자재비 급등으로 일부 상업 프로젝트 공사 중단 사례 보고, 데이터센터 건설 붐이 인력·자재 수급 병목을 악화시켜 주거 개발 일정에 이차적 부정적 영향 확산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2. 정책·이슈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캘리포니아 주거 고밀도 법안 통과 대기</w:t>
      </w:r>
      <w:r>
        <w:rPr>
          <w:rFonts w:ascii="Noto Sans KR" w:hAnsi="Noto Sans KR" w:eastAsia="Noto Sans KR"/>
          <w:b w:val="0"/>
          <w:i w:val="0"/>
          <w:sz w:val="20"/>
        </w:rPr>
        <w:t>: 7개 주요 도시 교통 요충지 인근 건물 높이 제한을 150피트(약 46m) 이상으로 완화하는 주택 밀도 법안이 주지사 서명 대기 중 — 통과 시 LA·SF 등 고수요 도시에서 대형 하이라이즈 주거 개발 기회 급증 예상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연준 금리 인상 기조 지속</w:t>
      </w:r>
      <w:r>
        <w:rPr>
          <w:rFonts w:ascii="Noto Sans KR" w:hAnsi="Noto Sans KR" w:eastAsia="Noto Sans KR"/>
          <w:b w:val="0"/>
          <w:i w:val="0"/>
          <w:sz w:val="20"/>
        </w:rPr>
        <w:t>: 이번 주 0.25%p 추가 인상 단행, 연내 추가 인상 시사 — CMBS 콘딧 자본이 멀티패밀리·오피스 섹터에 집중하는 가운데 고금리 환경이 캡레이트 압박, 거래 저하, 신규 착공 선별성 강화로 이어지는 구조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뉴욕주 기회특구(Opportunity Zone) 마감 임박</w:t>
      </w:r>
      <w:r>
        <w:rPr>
          <w:rFonts w:ascii="Noto Sans KR" w:hAnsi="Noto Sans KR" w:eastAsia="Noto Sans KR"/>
          <w:b w:val="0"/>
          <w:i w:val="0"/>
          <w:sz w:val="20"/>
        </w:rPr>
        <w:t>: 주지사 $25B 투자·10만호 공급 공약 대비 실제 개발 속도 미흡 — OZ 세제 혜택 활용 창이 좁아지는 시점에서 조기 구조화 필요성 부각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LA시 사상 최대 어포더블 하우징 펀딩($466.6M) 승인</w:t>
      </w:r>
      <w:r>
        <w:rPr>
          <w:rFonts w:ascii="Noto Sans KR" w:hAnsi="Noto Sans KR" w:eastAsia="Noto Sans KR"/>
          <w:b w:val="0"/>
          <w:i w:val="0"/>
          <w:sz w:val="20"/>
        </w:rPr>
        <w:t>: 시의회 만장일치 의결로 건설·보수 보조금 지원 확대, 민간 시행사와의 공공-민간 파트너십 기회 증가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Fairfax 등 지방정부 인허가 지연 문제 지속</w:t>
      </w:r>
      <w:r>
        <w:rPr>
          <w:rFonts w:ascii="Noto Sans KR" w:hAnsi="Noto Sans KR" w:eastAsia="Noto Sans KR"/>
          <w:b w:val="0"/>
          <w:i w:val="0"/>
          <w:sz w:val="20"/>
        </w:rPr>
        <w:t>: 비용 상승·인허가 기간 장기화·파이낸싱 미스매치가 복합 작용, 어포더블 주택 공급 차질이 구조적 문제로 고착화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3. 거래현황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멀티패밀리 대형 매각 활발</w:t>
      </w:r>
      <w:r>
        <w:rPr>
          <w:rFonts w:ascii="Noto Sans KR" w:hAnsi="Noto Sans KR" w:eastAsia="Noto Sans KR"/>
          <w:b w:val="0"/>
          <w:i w:val="0"/>
          <w:sz w:val="20"/>
        </w:rPr>
        <w:t>: JPMorgan → TA Realty, 플로리다 웰링턴 Polo Lakes 366유닛 $105M 매각(24년 보유 후 2.2배 차익 실현), Decron Properties LA 미라클마일 163유닛 $114M 취득, 노스피닉스 260유닛 $58.7M, 댈러스 228유닛 등 Sun Belt·게이트웨이 도시 자산 회전 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텍사스·선벨트 포트폴리오 딜 증가</w:t>
      </w:r>
      <w:r>
        <w:rPr>
          <w:rFonts w:ascii="Noto Sans KR" w:hAnsi="Noto Sans KR" w:eastAsia="Noto Sans KR"/>
          <w:b w:val="0"/>
          <w:i w:val="0"/>
          <w:sz w:val="20"/>
        </w:rPr>
        <w:t>: ECA의 텍사스 13개 도시 1,576유닛(20개 자산) 포트폴리오 취득($101M 자본 구조화), Bow River Capital의 노스레이크 456유닛($53.9M 취득 파이낸싱), Bader의 댈러스 228유닛 등 텍사스 집중 매매 흐름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스튜던트 하우징 대형 리파이낸싱·취득 러시</w:t>
      </w:r>
      <w:r>
        <w:rPr>
          <w:rFonts w:ascii="Noto Sans KR" w:hAnsi="Noto Sans KR" w:eastAsia="Noto Sans KR"/>
          <w:b w:val="0"/>
          <w:i w:val="0"/>
          <w:sz w:val="20"/>
        </w:rPr>
        <w:t>: FIU 인근 Adam America·JW Capital JV $180M 리파이낸싱, GW대 인근 Varsity on K 197유닛 $50M 브리지론, GMH+Invesco 364베드 포트폴리오 취득, 텍사스A&amp;M 인근 $42M 리파이 등 캠퍼스 인근 자산 자본 재편 가속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글로벌 자본 유입 주목</w:t>
      </w:r>
      <w:r>
        <w:rPr>
          <w:rFonts w:ascii="Noto Sans KR" w:hAnsi="Noto Sans KR" w:eastAsia="Noto Sans KR"/>
          <w:b w:val="0"/>
          <w:i w:val="0"/>
          <w:sz w:val="20"/>
        </w:rPr>
        <w:t>: 일본계 Phoenix Co. Ltd.가 맨해튼 어퍼웨스트사이드 36유닛 아파트를 $24.8M에 취득, 일본 자본의 미국 도심 주거 자산 직접투자 사례로 주목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 자산 거래 소규모화 경향</w:t>
      </w:r>
      <w:r>
        <w:rPr>
          <w:rFonts w:ascii="Noto Sans KR" w:hAnsi="Noto Sans KR" w:eastAsia="Noto Sans KR"/>
          <w:b w:val="0"/>
          <w:i w:val="0"/>
          <w:sz w:val="20"/>
        </w:rPr>
        <w:t>: Highgate Capital → Peak Capital 미시간 Stonehaven 105유닛 매각, IPA 중개 북달라스 Horizon at Premier 122유닛 거래 등 BTR은 중소형 자산 중심 기관 간 거래 패턴 확인</w:t>
      </w:r>
    </w:p>
    <w:p>
      <w:pPr>
        <w:pBdr>
          <w:bottom w:val="single" w:sz="4" w:space="1" w:color="1B3A5C"/>
        </w:pBdr>
      </w:pPr>
    </w:p>
    <w:p/>
    <w:p>
      <w:pPr>
        <w:pBdr>
          <w:bottom w:val="single" w:sz="4" w:space="1" w:color="2E75B6"/>
        </w:pBdr>
      </w:pPr>
      <w:r>
        <w:rPr>
          <w:rFonts w:ascii="Noto Sans KR" w:hAnsi="Noto Sans KR" w:eastAsia="Noto Sans KR"/>
          <w:b/>
          <w:i w:val="0"/>
          <w:color w:val="2E75B6"/>
          <w:sz w:val="26"/>
        </w:rPr>
        <w:t>4. 시사점 (우미글로벌 전략 관점)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스튜던트 하우징: 지금이 포지셔닝 적기</w:t>
      </w:r>
      <w:r>
        <w:rPr>
          <w:rFonts w:ascii="Noto Sans KR" w:hAnsi="Noto Sans KR" w:eastAsia="Noto Sans KR"/>
          <w:b w:val="0"/>
          <w:i w:val="0"/>
          <w:sz w:val="20"/>
        </w:rPr>
        <w:t xml:space="preserve"> — Yardi Matrix 8월 기준 사전임대율 93%(전년 대비 상회), 대형 리파이낸싱·포트폴리오 취득이 동시에 진행되는 섹터 활황 국면. FIU·GWU·UK·텍사스A&amp;M 등 대형 주립대 캠퍼스 인근 자산이 기관투자자 선호 대상으로 부상 중. 우미글로벌의 미국 스튜던트 하우징 GP 파트너십 탐색 시 Adam America·GMH·Subtext·Landmark Properties 등과의 JV 접근 검토 권고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BTR: 텍사스·선벨트 중심 중소형 포트폴리오 진입 기회</w:t>
      </w:r>
      <w:r>
        <w:rPr>
          <w:rFonts w:ascii="Noto Sans KR" w:hAnsi="Noto Sans KR" w:eastAsia="Noto Sans KR"/>
          <w:b w:val="0"/>
          <w:i w:val="0"/>
          <w:sz w:val="20"/>
        </w:rPr>
        <w:t xml:space="preserve"> — ECA 텍사스 20개 자산 포트폴리오, Bow River 노스레이크 딜 등 텍사스 내 BTR·멀티패밀리 회전 매물 증가. 100~500유닛 규모 자산에서 기관 간 가격 조정 구간이 형성되고 있어 셀렉티브 취득 또는 co-GP 참여 기회 검토 가능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일본계 자본 선례 활용</w:t>
      </w:r>
      <w:r>
        <w:rPr>
          <w:rFonts w:ascii="Noto Sans KR" w:hAnsi="Noto Sans KR" w:eastAsia="Noto Sans KR"/>
          <w:b w:val="0"/>
          <w:i w:val="0"/>
          <w:sz w:val="20"/>
        </w:rPr>
        <w:t>: 맨해튼 Upper West Side 36유닛 직접취득 사례($24.8M, Phoenix Co. Ltd.)는 아시아계 자본의 미국 주거 직접투자 가능성을 재확인. 우미글로벌 역시 도심 소형 자산 직접투자 또는 LP 출자 형태의 게이트웨이 시티 포지셔닝 전략 검토 가치 있음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오피스→레지덴셜 전환 프로젝트 모니터링</w:t>
      </w:r>
      <w:r>
        <w:rPr>
          <w:rFonts w:ascii="Noto Sans KR" w:hAnsi="Noto Sans KR" w:eastAsia="Noto Sans KR"/>
          <w:b w:val="0"/>
          <w:i w:val="0"/>
          <w:sz w:val="20"/>
        </w:rPr>
        <w:t>: 뉴욕 4,000유닛·시카고 384유닛 전환 딜은 공공 보조금+민간 파이낸싱 혼합 구조로 진행 중. 고금리·공실 오피스 자산이 할인 취득 후 주거 전환되는 구조는 우미글로벌의 해외 도시재생 경험과 접점이 있으므로, 공공파트너십 요건 충족 방안 사전 검토 권고</w:t>
      </w:r>
    </w:p>
    <w:p>
      <w:pPr>
        <w:pStyle w:val="ListBullet"/>
        <w:ind w:left="360"/>
      </w:pPr>
      <w:r>
        <w:rPr>
          <w:rFonts w:ascii="Noto Sans KR" w:hAnsi="Noto Sans KR" w:eastAsia="Noto Sans KR"/>
          <w:b w:val="0"/>
          <w:i w:val="0"/>
          <w:sz w:val="20"/>
        </w:rPr>
      </w:r>
      <w:r>
        <w:rPr>
          <w:rFonts w:ascii="Noto Sans KR" w:hAnsi="Noto Sans KR" w:eastAsia="Noto Sans KR"/>
          <w:b/>
          <w:i w:val="0"/>
          <w:sz w:val="20"/>
        </w:rPr>
        <w:t>금리 상승 구간 리스크 관리 필수</w:t>
      </w:r>
      <w:r>
        <w:rPr>
          <w:rFonts w:ascii="Noto Sans KR" w:hAnsi="Noto Sans KR" w:eastAsia="Noto Sans KR"/>
          <w:b w:val="0"/>
          <w:i w:val="0"/>
          <w:sz w:val="20"/>
        </w:rPr>
        <w:t>: 연준 추가 인상 기조 하에서 캡레이트 압박·착공 선별화가 심화되는 구간. 기존 포트폴리오 리파이낸싱 리스크 점검과 신규 투자 시 브리지론보다 고정금리 장기 대출 구조 선호, 변수가 적은 Core-Plus 자산 중심 진입 전략이 유효</w:t>
      </w:r>
    </w:p>
    <w:p>
      <w:pPr>
        <w:pBdr>
          <w:bottom w:val="single" w:sz="4" w:space="1" w:color="1B3A5C"/>
        </w:pBdr>
      </w:pPr>
    </w:p>
    <w:p>
      <w:r>
        <w:rPr>
          <w:rFonts w:ascii="Noto Sans KR" w:hAnsi="Noto Sans KR" w:eastAsia="Noto Sans KR"/>
          <w:b w:val="0"/>
          <w:i w:val="0"/>
          <w:sz w:val="20"/>
        </w:rPr>
        <w:t>*본 리포트는 수집된 공개 뉴스 기사 432건(2026.09.21~09.28) 기반으로 작성되었으며, 투자 권고가 아닌 시장 정보 제공 목적입니다.*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/>
        <w:sz w:val="18"/>
      </w:rPr>
      <w:fldChar w:fldCharType="begin"/>
      <w:instrText>PAGE</w:instrText>
      <w:fldChar w:fldCharType="separate"/>
      <w:fldChar w:fldCharType="end"/>
    </w:r>
    <w:r>
      <w:tab/>
      <w:tab/>
    </w:r>
    <w:r>
      <w:rPr>
        <w:rFonts w:ascii="Noto Sans KR" w:hAnsi="Noto Sans KR" w:eastAsia="Noto Sans KR"/>
        <w:b w:val="0"/>
        <w:i w:val="0"/>
        <w:color w:val="999999"/>
        <w:sz w:val="18"/>
      </w:rPr>
      <w:t>2026년 9월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1B3A5C"/>
      </w:pBdr>
    </w:pPr>
    <w:r>
      <w:rPr>
        <w:rFonts w:ascii="Noto Sans KR" w:hAnsi="Noto Sans KR" w:eastAsia="Noto Sans KR"/>
        <w:b w:val="0"/>
        <w:i w:val="0"/>
        <w:color w:val="999999"/>
        <w:sz w:val="20"/>
      </w:rPr>
      <w:t>우미글로벌 해외사업팀 | 대외비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