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Noto Sans KR" w:hAnsi="Noto Sans KR" w:eastAsia="Noto Sans KR"/>
          <w:b/>
          <w:i w:val="0"/>
          <w:color w:val="1B3A5C"/>
          <w:sz w:val="32"/>
        </w:rPr>
        <w:t>우미글로벌 해외사업팀</w:t>
      </w:r>
    </w:p>
    <w:p/>
    <w:p>
      <w:pPr>
        <w:jc w:val="center"/>
      </w:pPr>
      <w:r>
        <w:rPr>
          <w:rFonts w:ascii="Noto Sans KR" w:hAnsi="Noto Sans KR" w:eastAsia="Noto Sans KR"/>
          <w:b/>
          <w:i w:val="0"/>
          <w:sz w:val="40"/>
        </w:rPr>
        <w:t>미국 주거시장 주간 인텔리전스 리포트</w:t>
      </w:r>
    </w:p>
    <w:p/>
    <w:p>
      <w:pPr>
        <w:jc w:val="center"/>
      </w:pPr>
      <w:r>
        <w:rPr>
          <w:rFonts w:ascii="Noto Sans KR" w:hAnsi="Noto Sans KR" w:eastAsia="Noto Sans KR"/>
          <w:b w:val="0"/>
          <w:i w:val="0"/>
          <w:color w:val="999999"/>
          <w:sz w:val="20"/>
        </w:rPr>
        <w:t>기간: 2026-10-08 ~ 2026-10-15</w:t>
      </w:r>
    </w:p>
    <w:p/>
    <w:p>
      <w:pPr>
        <w:jc w:val="center"/>
      </w:pPr>
      <w:r>
        <w:rPr>
          <w:rFonts w:ascii="Noto Sans KR" w:hAnsi="Noto Sans KR" w:eastAsia="Noto Sans KR"/>
          <w:b w:val="0"/>
          <w:i w:val="0"/>
          <w:color w:val="999999"/>
          <w:sz w:val="20"/>
        </w:rPr>
        <w:t>작성일: 2026년 10월 15일  |  해외사업팀</w:t>
      </w:r>
    </w:p>
    <w:p>
      <w:r>
        <w:br w:type="page"/>
      </w:r>
    </w:p>
    <w:p>
      <w:pPr>
        <w:pBdr>
          <w:bottom w:val="single" w:sz="4" w:space="1" w:color="1B3A5C"/>
        </w:pBdr>
      </w:pPr>
      <w:r>
        <w:rPr>
          <w:rFonts w:ascii="Noto Sans KR" w:hAnsi="Noto Sans KR" w:eastAsia="Noto Sans KR"/>
          <w:b/>
          <w:i w:val="0"/>
          <w:color w:val="1B3A5C"/>
          <w:sz w:val="28"/>
        </w:rPr>
        <w:t>미국 주거시장 인텔리전스 리포트</w:t>
      </w:r>
    </w:p>
    <w:p>
      <w:r>
        <w:rPr>
          <w:rFonts w:ascii="Noto Sans KR" w:hAnsi="Noto Sans KR" w:eastAsia="Noto Sans KR"/>
          <w:b/>
          <w:i w:val="0"/>
          <w:sz w:val="20"/>
        </w:rPr>
        <w:t>우미글로벌 해외사업팀 | 2026.10.08 – 10.15</w:t>
      </w:r>
    </w:p>
    <w:p>
      <w:pPr>
        <w:pBdr>
          <w:bottom w:val="single" w:sz="4" w:space="1" w:color="1B3A5C"/>
        </w:pBdr>
      </w:pPr>
    </w:p>
    <w:p/>
    <w:p>
      <w:pPr>
        <w:pBdr>
          <w:bottom w:val="single" w:sz="4" w:space="1" w:color="2E75B6"/>
        </w:pBdr>
      </w:pPr>
      <w:r>
        <w:rPr>
          <w:rFonts w:ascii="Noto Sans KR" w:hAnsi="Noto Sans KR" w:eastAsia="Noto Sans KR"/>
          <w:b/>
          <w:i w:val="0"/>
          <w:color w:val="2E75B6"/>
          <w:sz w:val="26"/>
        </w:rPr>
        <w:t>1. 개발 현황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멀티패밀리 착공 집중</w:t>
      </w:r>
      <w:r>
        <w:rPr>
          <w:rFonts w:ascii="Noto Sans KR" w:hAnsi="Noto Sans KR" w:eastAsia="Noto Sans KR"/>
          <w:b w:val="0"/>
          <w:i w:val="0"/>
          <w:sz w:val="20"/>
        </w:rPr>
        <w:t>: 텍사스(Austin 402유닛·The Barton, Dallas 435유닛·High Street Residential/Trammell Crow), 애리조나(Tempe 2개 타워 $2.88억·Empire Group), 뉴저지(Rahway 200유닛·Capodagli) 등 주요 선벨트·광역권에서 대형 착공이 집중 발생.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Student Housing 신규 공급 활발</w:t>
      </w:r>
      <w:r>
        <w:rPr>
          <w:rFonts w:ascii="Noto Sans KR" w:hAnsi="Noto Sans KR" w:eastAsia="Noto Sans KR"/>
          <w:b w:val="0"/>
          <w:i w:val="0"/>
          <w:sz w:val="20"/>
        </w:rPr>
        <w:t>: Oregon State大(Zev Corvallis, 13층·663유닛), UCF 인근(VERVE Orlando, 626베드), Philadelphia(University City 최고층 학생주택 준공), U of M St. Paul 캠퍼스($1억 기숙사 계획) 등 대학 인근 수요 공략 프로젝트 다수.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LA·SF 고밀도 도심 개발 지속</w:t>
      </w:r>
      <w:r>
        <w:rPr>
          <w:rFonts w:ascii="Noto Sans KR" w:hAnsi="Noto Sans KR" w:eastAsia="Noto Sans KR"/>
          <w:b w:val="0"/>
          <w:i w:val="0"/>
          <w:sz w:val="20"/>
        </w:rPr>
        <w:t xml:space="preserve">: San Francisco 1601 Mission(45층 주거 타워 허가 신청), Culver City 344유닛 Mixed-use($1.327억 Bank OZK 조달), Warner Center·Pasadena·Westwood 등 LA 내 복수 부지에서 인허가 및 착공 움직임. LA는 현재 </w:t>
      </w:r>
      <w:r>
        <w:rPr>
          <w:rFonts w:ascii="Noto Sans KR" w:hAnsi="Noto Sans KR" w:eastAsia="Noto Sans KR"/>
          <w:b/>
          <w:i w:val="0"/>
          <w:sz w:val="20"/>
        </w:rPr>
        <w:t>공급 급증</w:t>
      </w:r>
      <w:r>
        <w:rPr>
          <w:rFonts w:ascii="Noto Sans KR" w:hAnsi="Noto Sans KR" w:eastAsia="Noto Sans KR"/>
          <w:b w:val="0"/>
          <w:i w:val="0"/>
          <w:sz w:val="20"/>
        </w:rPr>
        <w:t xml:space="preserve"> 국면.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Office-to-Resi 전환</w:t>
      </w:r>
      <w:r>
        <w:rPr>
          <w:rFonts w:ascii="Noto Sans KR" w:hAnsi="Noto Sans KR" w:eastAsia="Noto Sans KR"/>
          <w:b w:val="0"/>
          <w:i w:val="0"/>
          <w:sz w:val="20"/>
        </w:rPr>
        <w:t>: Washington D.C.에서 Jemal/DivcoWest JV가 34.2만 sqft 오피스를 323유닛 주거로 전환 추진; Manhattan East Village 50 Third Ave 184유닛 착공($2.035억 Walker &amp; Dunlop 조달).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Affordable Housing 착공</w:t>
      </w:r>
      <w:r>
        <w:rPr>
          <w:rFonts w:ascii="Noto Sans KR" w:hAnsi="Noto Sans KR" w:eastAsia="Noto Sans KR"/>
          <w:b w:val="0"/>
          <w:i w:val="0"/>
          <w:sz w:val="20"/>
        </w:rPr>
        <w:t>: Miami(Gallery at Lummus Parc, 257유닛·$1.671억), Atlanta(Ariel Place at Bowen Phase II), LA Chinatown(800 N. Main St.) 등 저소득층 주택 공급도 꾸준히 진행.</w:t>
      </w:r>
    </w:p>
    <w:p>
      <w:pPr>
        <w:pBdr>
          <w:bottom w:val="single" w:sz="4" w:space="1" w:color="1B3A5C"/>
        </w:pBdr>
      </w:pPr>
    </w:p>
    <w:p/>
    <w:p>
      <w:pPr>
        <w:pBdr>
          <w:bottom w:val="single" w:sz="4" w:space="1" w:color="2E75B6"/>
        </w:pBdr>
      </w:pPr>
      <w:r>
        <w:rPr>
          <w:rFonts w:ascii="Noto Sans KR" w:hAnsi="Noto Sans KR" w:eastAsia="Noto Sans KR"/>
          <w:b/>
          <w:i w:val="0"/>
          <w:color w:val="2E75B6"/>
          <w:sz w:val="26"/>
        </w:rPr>
        <w:t>2. 정책·이슈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NYC 임대료 동결 이슈 부상</w:t>
      </w:r>
      <w:r>
        <w:rPr>
          <w:rFonts w:ascii="Noto Sans KR" w:hAnsi="Noto Sans KR" w:eastAsia="Noto Sans KR"/>
          <w:b w:val="0"/>
          <w:i w:val="0"/>
          <w:sz w:val="20"/>
        </w:rPr>
        <w:t>: Brooklyn 패널에서 Zohran Mamdani 시장의 렌트 프리즈(rent freeze) 정책이 핵심 의제로 등장. 투자자 심리와 신규 공급 인센티브에 부정적 영향 우려.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NYC 세금 인센티브(421-a 후속) 악용 방지 논의</w:t>
      </w:r>
      <w:r>
        <w:rPr>
          <w:rFonts w:ascii="Noto Sans KR" w:hAnsi="Noto Sans KR" w:eastAsia="Noto Sans KR"/>
          <w:b w:val="0"/>
          <w:i w:val="0"/>
          <w:sz w:val="20"/>
        </w:rPr>
        <w:t>: 개발사들이 unit 수 기준선을 피하기 위해 렌탈 빌딩을 분리 콘도로 쪼개는 방식을 검토 중—정책 부작용과 개발사 구조화 전략 변화 주목.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Florida Live Local Act 후퇴</w:t>
      </w:r>
      <w:r>
        <w:rPr>
          <w:rFonts w:ascii="Noto Sans KR" w:hAnsi="Noto Sans KR" w:eastAsia="Noto Sans KR"/>
          <w:b w:val="0"/>
          <w:i w:val="0"/>
          <w:sz w:val="20"/>
        </w:rPr>
        <w:t>: Miami Beach에서 Russell Galbut가 Live Local Act(용도지역 초월 고밀도 허용)를 활용한 3개 프로젝트를 취소. 지역 주민 반발과 행정 저항이 실제 프로젝트 철수로 연결된 첫 사례.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Student Housing 규제 리스크</w:t>
      </w:r>
      <w:r>
        <w:rPr>
          <w:rFonts w:ascii="Noto Sans KR" w:hAnsi="Noto Sans KR" w:eastAsia="Noto Sans KR"/>
          <w:b w:val="0"/>
          <w:i w:val="0"/>
          <w:sz w:val="20"/>
        </w:rPr>
        <w:t>: Columbia(MO)에서 Rock Quarry Road 학생주택 개발 리조닝 거부. Cornell 대학 인근은 파티 퍼밋 중단 등 비주거 이슈가 투자 환경에 잡음 생성.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연준 할인율 회의록 공개</w:t>
      </w:r>
      <w:r>
        <w:rPr>
          <w:rFonts w:ascii="Noto Sans KR" w:hAnsi="Noto Sans KR" w:eastAsia="Noto Sans KR"/>
          <w:b w:val="0"/>
          <w:i w:val="0"/>
          <w:sz w:val="20"/>
        </w:rPr>
        <w:t>: 8월·9월 복수의 할인율 회의록이 공개되며 금리 경로에 대한 시장 관심 지속. 멀티패밀리 CMBS 특별관리 비율이 9월 11.49%(2013년 이후 최고)로 상승—차환 압력 현재진행형.</w:t>
      </w:r>
    </w:p>
    <w:p>
      <w:pPr>
        <w:pBdr>
          <w:bottom w:val="single" w:sz="4" w:space="1" w:color="1B3A5C"/>
        </w:pBdr>
      </w:pPr>
    </w:p>
    <w:p/>
    <w:p>
      <w:pPr>
        <w:pBdr>
          <w:bottom w:val="single" w:sz="4" w:space="1" w:color="2E75B6"/>
        </w:pBdr>
      </w:pPr>
      <w:r>
        <w:rPr>
          <w:rFonts w:ascii="Noto Sans KR" w:hAnsi="Noto Sans KR" w:eastAsia="Noto Sans KR"/>
          <w:b/>
          <w:i w:val="0"/>
          <w:color w:val="2E75B6"/>
          <w:sz w:val="26"/>
        </w:rPr>
        <w:t>3. 거래 현황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대형 멀티패밀리 매각 활발</w:t>
      </w:r>
      <w:r>
        <w:rPr>
          <w:rFonts w:ascii="Noto Sans KR" w:hAnsi="Noto Sans KR" w:eastAsia="Noto Sans KR"/>
          <w:b w:val="0"/>
          <w:i w:val="0"/>
          <w:sz w:val="20"/>
        </w:rPr>
        <w:t xml:space="preserve">: Hines Global Income Trust가 Atlanta Buckhead 312유닛 '99 West Paces'를 </w:t>
      </w:r>
      <w:r>
        <w:rPr>
          <w:rFonts w:ascii="Noto Sans KR" w:hAnsi="Noto Sans KR" w:eastAsia="Noto Sans KR"/>
          <w:b/>
          <w:i w:val="0"/>
          <w:sz w:val="20"/>
        </w:rPr>
        <w:t>$2.378억</w:t>
      </w:r>
      <w:r>
        <w:rPr>
          <w:rFonts w:ascii="Noto Sans KR" w:hAnsi="Noto Sans KR" w:eastAsia="Noto Sans KR"/>
          <w:b w:val="0"/>
          <w:i w:val="0"/>
          <w:sz w:val="20"/>
        </w:rPr>
        <w:t xml:space="preserve">에 매입(ATL </w:t>
      </w:r>
      <w:r>
        <w:rPr>
          <w:rFonts w:ascii="Noto Sans KR" w:hAnsi="Noto Sans KR" w:eastAsia="Noto Sans KR"/>
          <w:b/>
          <w:i w:val="0"/>
          <w:sz w:val="20"/>
        </w:rPr>
        <w:t>평년</w:t>
      </w:r>
      <w:r>
        <w:rPr>
          <w:rFonts w:ascii="Noto Sans KR" w:hAnsi="Noto Sans KR" w:eastAsia="Noto Sans KR"/>
          <w:b w:val="0"/>
          <w:i w:val="0"/>
          <w:sz w:val="20"/>
        </w:rPr>
        <w:t xml:space="preserve"> 공급 국면); Kennedy Wilson JV(Hulic·Fuyo General Lease 포함)가 San Jose One South Market 312유닛 인수; Hercules(CA) 232유닛 Dylan이 </w:t>
      </w:r>
      <w:r>
        <w:rPr>
          <w:rFonts w:ascii="Noto Sans KR" w:hAnsi="Noto Sans KR" w:eastAsia="Noto Sans KR"/>
          <w:b/>
          <w:i w:val="0"/>
          <w:sz w:val="20"/>
        </w:rPr>
        <w:t>$8,350만</w:t>
      </w:r>
      <w:r>
        <w:rPr>
          <w:rFonts w:ascii="Noto Sans KR" w:hAnsi="Noto Sans KR" w:eastAsia="Noto Sans KR"/>
          <w:b w:val="0"/>
          <w:i w:val="0"/>
          <w:sz w:val="20"/>
        </w:rPr>
        <w:t>에 거래—일본계 자본(Hulic·Fuyo)의 미국 멀티패밀리 직접 진입이 주목 포인트.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학생주택 대형 매각</w:t>
      </w:r>
      <w:r>
        <w:rPr>
          <w:rFonts w:ascii="Noto Sans KR" w:hAnsi="Noto Sans KR" w:eastAsia="Noto Sans KR"/>
          <w:b w:val="0"/>
          <w:i w:val="0"/>
          <w:sz w:val="20"/>
        </w:rPr>
        <w:t xml:space="preserve">: San Jose 학생주택 타워 </w:t>
      </w:r>
      <w:r>
        <w:rPr>
          <w:rFonts w:ascii="Noto Sans KR" w:hAnsi="Noto Sans KR" w:eastAsia="Noto Sans KR"/>
          <w:b/>
          <w:i w:val="0"/>
          <w:sz w:val="20"/>
        </w:rPr>
        <w:t>$2.04억</w:t>
      </w:r>
      <w:r>
        <w:rPr>
          <w:rFonts w:ascii="Noto Sans KR" w:hAnsi="Noto Sans KR" w:eastAsia="Noto Sans KR"/>
          <w:b w:val="0"/>
          <w:i w:val="0"/>
          <w:sz w:val="20"/>
        </w:rPr>
        <w:t xml:space="preserve"> 매각(차환 실패가 매각 트리거); FIU 인근 학생주택 타워 </w:t>
      </w:r>
      <w:r>
        <w:rPr>
          <w:rFonts w:ascii="Noto Sans KR" w:hAnsi="Noto Sans KR" w:eastAsia="Noto Sans KR"/>
          <w:b/>
          <w:i w:val="0"/>
          <w:sz w:val="20"/>
        </w:rPr>
        <w:t>$1.69억</w:t>
      </w:r>
      <w:r>
        <w:rPr>
          <w:rFonts w:ascii="Noto Sans KR" w:hAnsi="Noto Sans KR" w:eastAsia="Noto Sans KR"/>
          <w:b w:val="0"/>
          <w:i w:val="0"/>
          <w:sz w:val="20"/>
        </w:rPr>
        <w:t>; Blackstone의 Ohio 학생주택 자산 매각—포트폴리오 최적화 및 차환 압박이 주요 매각 동인.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Walker &amp; Dunlop, Fannie Mae 활용 대규모 리파이낸스</w:t>
      </w:r>
      <w:r>
        <w:rPr>
          <w:rFonts w:ascii="Noto Sans KR" w:hAnsi="Noto Sans KR" w:eastAsia="Noto Sans KR"/>
          <w:b w:val="0"/>
          <w:i w:val="0"/>
          <w:sz w:val="20"/>
        </w:rPr>
        <w:t xml:space="preserve">: 9개 멀티패밀리 자산 대상 </w:t>
      </w:r>
      <w:r>
        <w:rPr>
          <w:rFonts w:ascii="Noto Sans KR" w:hAnsi="Noto Sans KR" w:eastAsia="Noto Sans KR"/>
          <w:b/>
          <w:i w:val="0"/>
          <w:sz w:val="20"/>
        </w:rPr>
        <w:t>$6.306억</w:t>
      </w:r>
      <w:r>
        <w:rPr>
          <w:rFonts w:ascii="Noto Sans KR" w:hAnsi="Noto Sans KR" w:eastAsia="Noto Sans KR"/>
          <w:b w:val="0"/>
          <w:i w:val="0"/>
          <w:sz w:val="20"/>
        </w:rPr>
        <w:t xml:space="preserve"> 고정금리 Fannie Mae 리파이낸스 단일 딜 성사. JSB Capital($2.38억·Miami Doral), Lone Star Funds($1.1억·Stafford TX) 등 대형 리파이낸스도 집중.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시니어 하우징 M&amp;A 확대</w:t>
      </w:r>
      <w:r>
        <w:rPr>
          <w:rFonts w:ascii="Noto Sans KR" w:hAnsi="Noto Sans KR" w:eastAsia="Noto Sans KR"/>
          <w:b w:val="0"/>
          <w:i w:val="0"/>
          <w:sz w:val="20"/>
        </w:rPr>
        <w:t xml:space="preserve">: Brookdale Senior Living이 Welltower로부터 운영 중인 30개 커뮤니티를 </w:t>
      </w:r>
      <w:r>
        <w:rPr>
          <w:rFonts w:ascii="Noto Sans KR" w:hAnsi="Noto Sans KR" w:eastAsia="Noto Sans KR"/>
          <w:b/>
          <w:i w:val="0"/>
          <w:sz w:val="20"/>
        </w:rPr>
        <w:t>$2.9억</w:t>
      </w:r>
      <w:r>
        <w:rPr>
          <w:rFonts w:ascii="Noto Sans KR" w:hAnsi="Noto Sans KR" w:eastAsia="Noto Sans KR"/>
          <w:b w:val="0"/>
          <w:i w:val="0"/>
          <w:sz w:val="20"/>
        </w:rPr>
        <w:t>에 매입—헬스케어 REIT의 시니어 하우징 집중 및 민간 자본의 MOB 시장 진입 가속.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Seattle(SEA·공급 급증) 멀티패밀리 $7,200만 매각</w:t>
      </w:r>
      <w:r>
        <w:rPr>
          <w:rFonts w:ascii="Noto Sans KR" w:hAnsi="Noto Sans KR" w:eastAsia="Noto Sans KR"/>
          <w:b w:val="0"/>
          <w:i w:val="0"/>
          <w:sz w:val="20"/>
        </w:rPr>
        <w:t>: Kent 소재 The Groves 366유닛이 IPA 중개로 매각. 공급 급증 국면에서도 기관급 자산은 유동성 유지 확인.</w:t>
      </w:r>
    </w:p>
    <w:p>
      <w:pPr>
        <w:pBdr>
          <w:bottom w:val="single" w:sz="4" w:space="1" w:color="1B3A5C"/>
        </w:pBdr>
      </w:pPr>
    </w:p>
    <w:p/>
    <w:p>
      <w:pPr>
        <w:pBdr>
          <w:bottom w:val="single" w:sz="4" w:space="1" w:color="2E75B6"/>
        </w:pBdr>
      </w:pPr>
      <w:r>
        <w:rPr>
          <w:rFonts w:ascii="Noto Sans KR" w:hAnsi="Noto Sans KR" w:eastAsia="Noto Sans KR"/>
          <w:b/>
          <w:i w:val="0"/>
          <w:color w:val="2E75B6"/>
          <w:sz w:val="26"/>
        </w:rPr>
        <w:t>시장 데이터(공급) — WATCH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Noto Sans KR" w:hAnsi="Noto Sans KR" w:eastAsia="Noto Sans KR"/>
                <w:b/>
                <w:i w:val="0"/>
                <w:sz w:val="18"/>
              </w:rPr>
              <w:t>지역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/>
                <w:i w:val="0"/>
                <w:sz w:val="18"/>
              </w:rPr>
              <w:t>12개월 허가(5+유닛)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/>
                <w:i w:val="0"/>
                <w:sz w:val="18"/>
              </w:rPr>
              <w:t>3년 평균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/>
                <w:i w:val="0"/>
                <w:sz w:val="18"/>
              </w:rPr>
              <w:t>비율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/>
                <w:i w:val="0"/>
                <w:sz w:val="18"/>
              </w:rPr>
              <w:t>판정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/>
                <w:i w:val="0"/>
                <w:sz w:val="18"/>
              </w:rPr>
              <w:t>2027 예상 준공</w:t>
            </w:r>
          </w:p>
        </w:tc>
      </w:tr>
      <w:tr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ATL · Atlanta-Sandy Springs-Roswell, GA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12,140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13,303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0.91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평년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9,878</w:t>
            </w:r>
          </w:p>
        </w:tc>
      </w:tr>
      <w:tr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DFW · Dallas-Fort Worth-Arlington, TX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21,557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23,649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0.91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평년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27,018</w:t>
            </w:r>
          </w:p>
        </w:tc>
      </w:tr>
      <w:tr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LA · Los Angeles-Long Beach-Anaheim, CA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21,086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14,428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1.46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공급 급증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14,566</w:t>
            </w:r>
          </w:p>
        </w:tc>
      </w:tr>
      <w:tr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SEA · Seattle-Tacoma-Bellevue, WA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12,983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9,760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1.33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공급 급증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8,220</w:t>
            </w:r>
          </w:p>
        </w:tc>
      </w:tr>
      <w:tr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DEN · Denver-Aurora-Centennial, CO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7,738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9,140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0.85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평년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8,308</w:t>
            </w:r>
          </w:p>
        </w:tc>
      </w:tr>
      <w:tr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PHX · Phoenix-Mesa-Chandler, AZ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13,365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15,277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0.88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평년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14,260</w:t>
            </w:r>
          </w:p>
        </w:tc>
      </w:tr>
      <w:tr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COMO · Columbia, MO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판정불가(물량 부족)</w:t>
            </w:r>
          </w:p>
        </w:tc>
        <w:tc>
          <w:tcPr>
            <w:tcW w:type="dxa" w:w="1560"/>
          </w:tcPr>
          <w:p>
            <w:r>
              <w:rPr>
                <w:rFonts w:ascii="Noto Sans KR" w:hAnsi="Noto Sans KR" w:eastAsia="Noto Sans KR"/>
                <w:b w:val="0"/>
                <w:i w:val="0"/>
                <w:sz w:val="18"/>
              </w:rPr>
              <w:t>—</w:t>
            </w:r>
          </w:p>
        </w:tc>
      </w:tr>
    </w:tbl>
    <w:p>
      <w:r>
        <w:rPr>
          <w:rFonts w:ascii="Noto Sans KR" w:hAnsi="Noto Sans KR" w:eastAsia="Noto Sans KR"/>
          <w:b w:val="0"/>
          <w:i w:val="0"/>
          <w:sz w:val="20"/>
        </w:rPr>
        <w:t>기준월 2026-08 · 규칙 v1 · 출처 Census BPS·SOC</w:t>
      </w:r>
    </w:p>
    <w:p>
      <w:r>
        <w:rPr>
          <w:rFonts w:ascii="Noto Sans KR" w:hAnsi="Noto Sans KR" w:eastAsia="Noto Sans KR"/>
          <w:b w:val="0"/>
          <w:i w:val="0"/>
          <w:sz w:val="20"/>
        </w:rPr>
        <w:t>준공 예상은 SOC 지역 평균 lag(20+유닛) 적용 추정치 — 미착공·취소 미반영. 판정불가는 3년 평균 1,000유닛/년 미만 또는 데이터 없음.</w:t>
      </w:r>
    </w:p>
    <w:p/>
    <w:p>
      <w:pPr>
        <w:pBdr>
          <w:bottom w:val="single" w:sz="4" w:space="1" w:color="2E75B6"/>
        </w:pBdr>
      </w:pPr>
      <w:r>
        <w:rPr>
          <w:rFonts w:ascii="Noto Sans KR" w:hAnsi="Noto Sans KR" w:eastAsia="Noto Sans KR"/>
          <w:b/>
          <w:i w:val="0"/>
          <w:color w:val="2E75B6"/>
          <w:sz w:val="26"/>
        </w:rPr>
        <w:t>4. 시사점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일본계 자본과 공동투자(JV) 기회</w:t>
      </w:r>
      <w:r>
        <w:rPr>
          <w:rFonts w:ascii="Noto Sans KR" w:hAnsi="Noto Sans KR" w:eastAsia="Noto Sans KR"/>
          <w:b w:val="0"/>
          <w:i w:val="0"/>
          <w:sz w:val="20"/>
        </w:rPr>
        <w:t>: Kennedy Wilson-Hulic-Fuyo General Lease의 San Jose 딜은 일본 기관이 미국 멀티패밀리에 직접 LP·JV로 진입하는 패턴이 정착됐음을 시사. 우미글로벌이 일본·한국계 기관 자본을 GP로서 연결할 경우, 미국 현지 브리지 딜 또는 코어플러스 자산 공동인수가 유효한 진입 경로.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Student Housing: 차환 실패→매각 기회 포착</w:t>
      </w:r>
      <w:r>
        <w:rPr>
          <w:rFonts w:ascii="Noto Sans KR" w:hAnsi="Noto Sans KR" w:eastAsia="Noto Sans KR"/>
          <w:b w:val="0"/>
          <w:i w:val="0"/>
          <w:sz w:val="20"/>
        </w:rPr>
        <w:t>: San Jose·FIU 인근 학생주택의 차환 실패 매각 사례는 고금리 환경에서 오버레버리지 자산이 강제 매각으로 넘어오는 패턴을 보여줌. 학자금 수요가 견고한 대형 주립대(Oregon State, U of M 등) 인근 신규 딜 소싱과 함께, 기존 디스트레스 자산 매입 전략도 병행 검토 필요.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BTR(Build-to-Rent) Phoenix 시장</w:t>
      </w:r>
      <w:r>
        <w:rPr>
          <w:rFonts w:ascii="Noto Sans KR" w:hAnsi="Noto Sans KR" w:eastAsia="Noto Sans KR"/>
          <w:b w:val="0"/>
          <w:i w:val="0"/>
          <w:sz w:val="20"/>
        </w:rPr>
        <w:t xml:space="preserve">: Empire Group의 Village at Sonoran Vista(PHX)가 신규 준공 후 Värde Partners로부터 </w:t>
      </w:r>
      <w:r>
        <w:rPr>
          <w:rFonts w:ascii="Noto Sans KR" w:hAnsi="Noto Sans KR" w:eastAsia="Noto Sans KR"/>
          <w:b/>
          <w:i w:val="0"/>
          <w:sz w:val="20"/>
        </w:rPr>
        <w:t>$6,550만</w:t>
      </w:r>
      <w:r>
        <w:rPr>
          <w:rFonts w:ascii="Noto Sans KR" w:hAnsi="Noto Sans KR" w:eastAsia="Noto Sans KR"/>
          <w:b w:val="0"/>
          <w:i w:val="0"/>
          <w:sz w:val="20"/>
        </w:rPr>
        <w:t xml:space="preserve"> 리파이낸스 확보—PHX는 현재 </w:t>
      </w:r>
      <w:r>
        <w:rPr>
          <w:rFonts w:ascii="Noto Sans KR" w:hAnsi="Noto Sans KR" w:eastAsia="Noto Sans KR"/>
          <w:b/>
          <w:i w:val="0"/>
          <w:sz w:val="20"/>
        </w:rPr>
        <w:t>평년</w:t>
      </w:r>
      <w:r>
        <w:rPr>
          <w:rFonts w:ascii="Noto Sans KR" w:hAnsi="Noto Sans KR" w:eastAsia="Noto Sans KR"/>
          <w:b w:val="0"/>
          <w:i w:val="0"/>
          <w:sz w:val="20"/>
        </w:rPr>
        <w:t xml:space="preserve"> 공급 국면으로 BTR 수요 흡수 여건 양호. 우미글로벌의 BTR 투자 시 PHX 서브마켓 우선 검토 권고.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멀티패밀리 가격 저점 매수 타이밍</w:t>
      </w:r>
      <w:r>
        <w:rPr>
          <w:rFonts w:ascii="Noto Sans KR" w:hAnsi="Noto Sans KR" w:eastAsia="Noto Sans KR"/>
          <w:b w:val="0"/>
          <w:i w:val="0"/>
          <w:sz w:val="20"/>
        </w:rPr>
        <w:t>: 전년 대비 가격 -2.56%(Trepp), CMBS 특별관리 비율 11.49% 고점 속에서 업계 내 "16년 만의 최고 매수 기회" 발언 등장. 디스트레스 확산 전 선별적 코어 자산 진입 또는 브리지 론 제공자(Lender) 포지셔닝이 단기 수익 창출 수단으로 유효.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LA·DFW 개발 리스크 차별화 필요</w:t>
      </w:r>
      <w:r>
        <w:rPr>
          <w:rFonts w:ascii="Noto Sans KR" w:hAnsi="Noto Sans KR" w:eastAsia="Noto Sans KR"/>
          <w:b w:val="0"/>
          <w:i w:val="0"/>
          <w:sz w:val="20"/>
        </w:rPr>
        <w:t xml:space="preserve">: LA는 </w:t>
      </w:r>
      <w:r>
        <w:rPr>
          <w:rFonts w:ascii="Noto Sans KR" w:hAnsi="Noto Sans KR" w:eastAsia="Noto Sans KR"/>
          <w:b/>
          <w:i w:val="0"/>
          <w:sz w:val="20"/>
        </w:rPr>
        <w:t>공급 급증</w:t>
      </w:r>
      <w:r>
        <w:rPr>
          <w:rFonts w:ascii="Noto Sans KR" w:hAnsi="Noto Sans KR" w:eastAsia="Noto Sans KR"/>
          <w:b w:val="0"/>
          <w:i w:val="0"/>
          <w:sz w:val="20"/>
        </w:rPr>
        <w:t xml:space="preserve"> 국면으로 신규 개발보다 기존 자산 안정화 전략이 적합하며, DFW는 </w:t>
      </w:r>
      <w:r>
        <w:rPr>
          <w:rFonts w:ascii="Noto Sans KR" w:hAnsi="Noto Sans KR" w:eastAsia="Noto Sans KR"/>
          <w:b/>
          <w:i w:val="0"/>
          <w:sz w:val="20"/>
        </w:rPr>
        <w:t>평년</w:t>
      </w:r>
      <w:r>
        <w:rPr>
          <w:rFonts w:ascii="Noto Sans KR" w:hAnsi="Noto Sans KR" w:eastAsia="Noto Sans KR"/>
          <w:b w:val="0"/>
          <w:i w:val="0"/>
          <w:sz w:val="20"/>
        </w:rPr>
        <w:t xml:space="preserve"> 수준이나 2027 예상 준공 물량(2.7만 유닛)이 높아 서브마켓별 흡수율 모니터링을 병행해야 함.</w:t>
      </w:r>
    </w:p>
    <w:p>
      <w:pPr>
        <w:pBdr>
          <w:bottom w:val="single" w:sz="4" w:space="1" w:color="1B3A5C"/>
        </w:pBdr>
      </w:pPr>
    </w:p>
    <w:p>
      <w:r>
        <w:rPr>
          <w:rFonts w:ascii="Noto Sans KR" w:hAnsi="Noto Sans KR" w:eastAsia="Noto Sans KR"/>
          <w:b w:val="0"/>
          <w:i w:val="0"/>
          <w:sz w:val="20"/>
        </w:rPr>
        <w:t>*본 리포트는 수집 기사 기반 요약이며, 투자 판단은 별도 실사를 전제로 합니다.*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sz w:val="18"/>
      </w:rPr>
      <w:fldChar w:fldCharType="begin"/>
      <w:instrText>PAGE</w:instrText>
      <w:fldChar w:fldCharType="separate"/>
      <w:fldChar w:fldCharType="end"/>
    </w:r>
    <w:r>
      <w:tab/>
      <w:tab/>
    </w:r>
    <w:r>
      <w:rPr>
        <w:rFonts w:ascii="Noto Sans KR" w:hAnsi="Noto Sans KR" w:eastAsia="Noto Sans KR"/>
        <w:b w:val="0"/>
        <w:i w:val="0"/>
        <w:color w:val="999999"/>
        <w:sz w:val="18"/>
      </w:rPr>
      <w:t>2026년 10월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1B3A5C"/>
      </w:pBdr>
    </w:pPr>
    <w:r>
      <w:rPr>
        <w:rFonts w:ascii="Noto Sans KR" w:hAnsi="Noto Sans KR" w:eastAsia="Noto Sans KR"/>
        <w:b w:val="0"/>
        <w:i w:val="0"/>
        <w:color w:val="999999"/>
        <w:sz w:val="20"/>
      </w:rPr>
      <w:t>우미글로벌 해외사업팀 | 대외비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