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DDA2" w14:textId="77777777" w:rsidR="00685DB0" w:rsidRDefault="00685DB0"/>
    <w:p w14:paraId="42391B28" w14:textId="77777777" w:rsidR="00A45872" w:rsidRDefault="00A45872" w:rsidP="00A45872"/>
    <w:p w14:paraId="23D3B529" w14:textId="77777777" w:rsidR="00A45872" w:rsidRDefault="00A45872" w:rsidP="00A45872">
      <w:pPr>
        <w:tabs>
          <w:tab w:val="left" w:pos="2744"/>
        </w:tabs>
        <w:rPr>
          <w:rFonts w:ascii="Century Gothic" w:hAnsi="Century Gothic"/>
          <w:b/>
          <w:bCs/>
          <w:sz w:val="28"/>
          <w:szCs w:val="28"/>
        </w:rPr>
      </w:pPr>
    </w:p>
    <w:p w14:paraId="0BD9A164" w14:textId="77777777" w:rsidR="00A45872" w:rsidRPr="004166FF" w:rsidRDefault="00A45872" w:rsidP="00A45872">
      <w:pPr>
        <w:tabs>
          <w:tab w:val="left" w:pos="4138"/>
        </w:tabs>
        <w:rPr>
          <w:rFonts w:ascii="Century Gothic" w:hAnsi="Century Gothic"/>
          <w:b/>
          <w:bCs/>
          <w:sz w:val="28"/>
          <w:szCs w:val="28"/>
        </w:rPr>
      </w:pPr>
    </w:p>
    <w:p w14:paraId="37113559" w14:textId="77777777" w:rsidR="00A45872" w:rsidRPr="0035077E" w:rsidRDefault="00A45872" w:rsidP="00A45872">
      <w:pPr>
        <w:jc w:val="center"/>
        <w:rPr>
          <w:rFonts w:ascii="Century Gothic" w:hAnsi="Century Gothic"/>
          <w:b/>
          <w:bCs/>
          <w:sz w:val="56"/>
          <w:szCs w:val="56"/>
        </w:rPr>
      </w:pPr>
      <w:r w:rsidRPr="0035077E">
        <w:rPr>
          <w:rFonts w:ascii="Century Gothic" w:hAnsi="Century Gothic"/>
          <w:b/>
          <w:bCs/>
          <w:sz w:val="56"/>
          <w:szCs w:val="56"/>
        </w:rPr>
        <w:t xml:space="preserve">Nanotechnology and in the </w:t>
      </w:r>
    </w:p>
    <w:p w14:paraId="2A385DC4" w14:textId="77777777" w:rsidR="00A45872" w:rsidRDefault="00A45872" w:rsidP="00A45872">
      <w:pPr>
        <w:jc w:val="center"/>
        <w:rPr>
          <w:rFonts w:ascii="Century Gothic" w:hAnsi="Century Gothic"/>
          <w:b/>
          <w:bCs/>
          <w:sz w:val="56"/>
          <w:szCs w:val="56"/>
        </w:rPr>
      </w:pPr>
      <w:r w:rsidRPr="0035077E">
        <w:rPr>
          <w:rFonts w:ascii="Century Gothic" w:hAnsi="Century Gothic"/>
          <w:b/>
          <w:bCs/>
          <w:sz w:val="56"/>
          <w:szCs w:val="56"/>
        </w:rPr>
        <w:t>modern computer</w:t>
      </w:r>
    </w:p>
    <w:p w14:paraId="4F71F827" w14:textId="77777777" w:rsidR="00A45872" w:rsidRDefault="00A45872" w:rsidP="00A45872">
      <w:pPr>
        <w:jc w:val="center"/>
        <w:rPr>
          <w:rFonts w:ascii="Century Gothic" w:hAnsi="Century Gothic"/>
          <w:b/>
          <w:bCs/>
          <w:sz w:val="56"/>
          <w:szCs w:val="56"/>
        </w:rPr>
      </w:pPr>
    </w:p>
    <w:p w14:paraId="6249C2BD" w14:textId="77777777" w:rsidR="00A45872" w:rsidRPr="001C7D5D" w:rsidRDefault="00A45872" w:rsidP="00A45872">
      <w:pPr>
        <w:rPr>
          <w:rFonts w:ascii="Century Gothic" w:hAnsi="Century Gothic"/>
          <w:b/>
          <w:bCs/>
          <w:sz w:val="56"/>
          <w:szCs w:val="56"/>
        </w:rPr>
      </w:pPr>
    </w:p>
    <w:p w14:paraId="42C0ACF1" w14:textId="77777777" w:rsidR="00A45872" w:rsidRDefault="00A45872" w:rsidP="00A45872">
      <w:pPr>
        <w:jc w:val="center"/>
        <w:rPr>
          <w:rFonts w:ascii="Century Gothic" w:hAnsi="Century Gothic"/>
          <w:b/>
          <w:bCs/>
          <w:sz w:val="44"/>
          <w:szCs w:val="44"/>
        </w:rPr>
      </w:pPr>
    </w:p>
    <w:p w14:paraId="74B7830C" w14:textId="77777777" w:rsidR="00A45872" w:rsidRDefault="00A45872" w:rsidP="00A45872">
      <w:pPr>
        <w:pStyle w:val="NoSpacing"/>
        <w:jc w:val="center"/>
        <w:rPr>
          <w:rFonts w:ascii="Century Gothic" w:hAnsi="Century Gothic"/>
          <w:b/>
          <w:bCs/>
        </w:rPr>
      </w:pPr>
      <w:r w:rsidRPr="003D5DEF">
        <w:rPr>
          <w:rFonts w:ascii="Century Gothic" w:hAnsi="Century Gothic"/>
          <w:b/>
          <w:bCs/>
        </w:rPr>
        <w:t>BSCS-NS-2AB</w:t>
      </w:r>
    </w:p>
    <w:p w14:paraId="3F2B59F9" w14:textId="77777777" w:rsidR="00A45872" w:rsidRDefault="00A45872" w:rsidP="00A45872">
      <w:pPr>
        <w:pStyle w:val="NoSpacing"/>
        <w:jc w:val="center"/>
        <w:rPr>
          <w:rFonts w:ascii="Century Gothic" w:hAnsi="Century Gothic"/>
          <w:b/>
          <w:bCs/>
        </w:rPr>
      </w:pPr>
    </w:p>
    <w:p w14:paraId="7D276D9C" w14:textId="77777777" w:rsidR="00A45872" w:rsidRDefault="00A45872" w:rsidP="00A45872">
      <w:pPr>
        <w:pStyle w:val="NoSpacing"/>
        <w:rPr>
          <w:rFonts w:ascii="Century Gothic" w:hAnsi="Century Gothic"/>
          <w:b/>
          <w:bCs/>
        </w:rPr>
      </w:pPr>
    </w:p>
    <w:p w14:paraId="6CA4F6CD" w14:textId="77777777" w:rsidR="00A45872" w:rsidRDefault="00A45872" w:rsidP="00A45872">
      <w:pPr>
        <w:pStyle w:val="NoSpacing"/>
        <w:jc w:val="center"/>
        <w:rPr>
          <w:rFonts w:ascii="Century Gothic" w:hAnsi="Century Gothic"/>
          <w:b/>
          <w:bCs/>
        </w:rPr>
      </w:pPr>
    </w:p>
    <w:p w14:paraId="0F9CFD81" w14:textId="77777777" w:rsidR="00A45872" w:rsidRDefault="00A45872" w:rsidP="00A45872">
      <w:pPr>
        <w:pStyle w:val="NoSpacing"/>
        <w:jc w:val="center"/>
        <w:rPr>
          <w:rFonts w:ascii="Century Gothic" w:hAnsi="Century Gothic"/>
          <w:b/>
          <w:bCs/>
        </w:rPr>
      </w:pPr>
    </w:p>
    <w:p w14:paraId="14B5E80D" w14:textId="77777777" w:rsidR="00A45872" w:rsidRDefault="00A45872" w:rsidP="00A45872">
      <w:pPr>
        <w:pStyle w:val="NoSpacing"/>
        <w:jc w:val="center"/>
        <w:rPr>
          <w:rFonts w:ascii="Century Gothic" w:hAnsi="Century Gothic"/>
          <w:b/>
          <w:bCs/>
        </w:rPr>
      </w:pPr>
    </w:p>
    <w:p w14:paraId="2193F851" w14:textId="77777777" w:rsidR="00A45872" w:rsidRDefault="00A45872" w:rsidP="00A45872">
      <w:pPr>
        <w:pStyle w:val="NoSpacing"/>
        <w:rPr>
          <w:rFonts w:ascii="Century Gothic" w:hAnsi="Century Gothic"/>
          <w:b/>
          <w:bCs/>
        </w:rPr>
      </w:pPr>
    </w:p>
    <w:p w14:paraId="44A9FABD" w14:textId="77777777" w:rsidR="00A45872" w:rsidRPr="00045A8A" w:rsidRDefault="00A45872" w:rsidP="00A45872">
      <w:pPr>
        <w:pStyle w:val="NoSpacing"/>
        <w:jc w:val="center"/>
        <w:rPr>
          <w:rFonts w:ascii="Century Gothic" w:hAnsi="Century Gothic"/>
          <w:b/>
          <w:bCs/>
          <w:sz w:val="28"/>
          <w:szCs w:val="28"/>
        </w:rPr>
      </w:pPr>
    </w:p>
    <w:p w14:paraId="48051128" w14:textId="77777777" w:rsidR="00A45872" w:rsidRPr="00045A8A" w:rsidRDefault="00A45872" w:rsidP="00A45872">
      <w:pPr>
        <w:pStyle w:val="NoSpacing"/>
        <w:jc w:val="center"/>
        <w:rPr>
          <w:rFonts w:ascii="Century Gothic" w:hAnsi="Century Gothic"/>
          <w:b/>
          <w:bCs/>
          <w:sz w:val="28"/>
          <w:szCs w:val="28"/>
        </w:rPr>
      </w:pPr>
      <w:r w:rsidRPr="00045A8A">
        <w:rPr>
          <w:rFonts w:ascii="Century Gothic" w:hAnsi="Century Gothic"/>
          <w:b/>
          <w:bCs/>
          <w:sz w:val="28"/>
          <w:szCs w:val="28"/>
        </w:rPr>
        <w:t>Orain, Jieson R.</w:t>
      </w:r>
    </w:p>
    <w:p w14:paraId="057005F9" w14:textId="77777777" w:rsidR="00A45872" w:rsidRPr="00045A8A" w:rsidRDefault="00A45872" w:rsidP="00A45872">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Manalaysay</w:t>
      </w:r>
      <w:proofErr w:type="spellEnd"/>
      <w:r w:rsidRPr="00045A8A">
        <w:rPr>
          <w:rFonts w:ascii="Century Gothic" w:hAnsi="Century Gothic"/>
          <w:b/>
          <w:bCs/>
          <w:sz w:val="28"/>
          <w:szCs w:val="28"/>
        </w:rPr>
        <w:t xml:space="preserve">, Bryan </w:t>
      </w:r>
      <w:proofErr w:type="spellStart"/>
      <w:r w:rsidRPr="00045A8A">
        <w:rPr>
          <w:rFonts w:ascii="Century Gothic" w:hAnsi="Century Gothic"/>
          <w:b/>
          <w:bCs/>
          <w:sz w:val="28"/>
          <w:szCs w:val="28"/>
        </w:rPr>
        <w:t>Aiman</w:t>
      </w:r>
      <w:proofErr w:type="spellEnd"/>
      <w:r w:rsidRPr="00045A8A">
        <w:rPr>
          <w:rFonts w:ascii="Century Gothic" w:hAnsi="Century Gothic"/>
          <w:b/>
          <w:bCs/>
          <w:sz w:val="28"/>
          <w:szCs w:val="28"/>
        </w:rPr>
        <w:t xml:space="preserve"> O.</w:t>
      </w:r>
    </w:p>
    <w:p w14:paraId="35A1DE26" w14:textId="77777777" w:rsidR="00A45872" w:rsidRPr="00045A8A" w:rsidRDefault="00A45872" w:rsidP="00A45872">
      <w:pPr>
        <w:pStyle w:val="NoSpacing"/>
        <w:jc w:val="center"/>
        <w:rPr>
          <w:rFonts w:ascii="Century Gothic" w:hAnsi="Century Gothic"/>
          <w:b/>
          <w:bCs/>
          <w:sz w:val="28"/>
          <w:szCs w:val="28"/>
        </w:rPr>
      </w:pPr>
      <w:r w:rsidRPr="00045A8A">
        <w:rPr>
          <w:rFonts w:ascii="Century Gothic" w:hAnsi="Century Gothic"/>
          <w:b/>
          <w:bCs/>
          <w:sz w:val="28"/>
          <w:szCs w:val="28"/>
        </w:rPr>
        <w:t>Espinosa, Princess Nichole</w:t>
      </w:r>
    </w:p>
    <w:p w14:paraId="1DD43697" w14:textId="77777777" w:rsidR="00A45872" w:rsidRDefault="00A45872" w:rsidP="00A45872">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Olete</w:t>
      </w:r>
      <w:proofErr w:type="spellEnd"/>
      <w:r w:rsidRPr="00045A8A">
        <w:rPr>
          <w:rFonts w:ascii="Century Gothic" w:hAnsi="Century Gothic"/>
          <w:b/>
          <w:bCs/>
          <w:sz w:val="28"/>
          <w:szCs w:val="28"/>
        </w:rPr>
        <w:t xml:space="preserve">, Maria </w:t>
      </w:r>
      <w:proofErr w:type="spellStart"/>
      <w:r w:rsidRPr="00045A8A">
        <w:rPr>
          <w:rFonts w:ascii="Century Gothic" w:hAnsi="Century Gothic"/>
          <w:b/>
          <w:bCs/>
          <w:sz w:val="28"/>
          <w:szCs w:val="28"/>
        </w:rPr>
        <w:t>Nesha</w:t>
      </w:r>
      <w:proofErr w:type="spellEnd"/>
    </w:p>
    <w:p w14:paraId="713F1013" w14:textId="77777777" w:rsidR="00A45872" w:rsidRDefault="00A45872" w:rsidP="00A45872">
      <w:pPr>
        <w:pStyle w:val="NoSpacing"/>
        <w:jc w:val="center"/>
        <w:rPr>
          <w:rFonts w:ascii="Century Gothic" w:hAnsi="Century Gothic"/>
          <w:b/>
          <w:bCs/>
          <w:sz w:val="28"/>
          <w:szCs w:val="28"/>
        </w:rPr>
      </w:pPr>
    </w:p>
    <w:p w14:paraId="1B58A536" w14:textId="77777777" w:rsidR="00A45872" w:rsidRDefault="00A45872" w:rsidP="00A45872">
      <w:pPr>
        <w:pStyle w:val="NoSpacing"/>
        <w:jc w:val="center"/>
        <w:rPr>
          <w:rFonts w:ascii="Century Gothic" w:hAnsi="Century Gothic"/>
          <w:b/>
          <w:bCs/>
          <w:sz w:val="28"/>
          <w:szCs w:val="28"/>
        </w:rPr>
      </w:pPr>
    </w:p>
    <w:p w14:paraId="32C6C948" w14:textId="77777777" w:rsidR="00A45872" w:rsidRDefault="00A45872" w:rsidP="00A45872">
      <w:pPr>
        <w:pStyle w:val="NoSpacing"/>
        <w:jc w:val="center"/>
        <w:rPr>
          <w:rFonts w:ascii="Century Gothic" w:hAnsi="Century Gothic"/>
          <w:b/>
          <w:bCs/>
          <w:sz w:val="28"/>
          <w:szCs w:val="28"/>
        </w:rPr>
      </w:pPr>
    </w:p>
    <w:p w14:paraId="0F249FA2" w14:textId="77777777" w:rsidR="00A45872" w:rsidRDefault="00A45872" w:rsidP="00A45872">
      <w:pPr>
        <w:pStyle w:val="NoSpacing"/>
        <w:jc w:val="center"/>
        <w:rPr>
          <w:rFonts w:ascii="Century Gothic" w:hAnsi="Century Gothic"/>
          <w:b/>
          <w:bCs/>
          <w:sz w:val="28"/>
          <w:szCs w:val="28"/>
        </w:rPr>
      </w:pPr>
    </w:p>
    <w:p w14:paraId="0B0CC07A" w14:textId="77777777" w:rsidR="00A45872" w:rsidRDefault="00A45872" w:rsidP="00A45872">
      <w:pPr>
        <w:pStyle w:val="NoSpacing"/>
        <w:jc w:val="center"/>
        <w:rPr>
          <w:rFonts w:ascii="Century Gothic" w:hAnsi="Century Gothic"/>
          <w:b/>
          <w:bCs/>
          <w:sz w:val="28"/>
          <w:szCs w:val="28"/>
        </w:rPr>
      </w:pPr>
    </w:p>
    <w:p w14:paraId="0340CBC3" w14:textId="77777777" w:rsidR="00A45872" w:rsidRDefault="00A45872" w:rsidP="00A45872">
      <w:pPr>
        <w:pStyle w:val="NoSpacing"/>
        <w:jc w:val="center"/>
        <w:rPr>
          <w:rFonts w:ascii="Century Gothic" w:hAnsi="Century Gothic"/>
          <w:b/>
          <w:bCs/>
          <w:sz w:val="28"/>
          <w:szCs w:val="28"/>
        </w:rPr>
      </w:pPr>
    </w:p>
    <w:p w14:paraId="67D5973C" w14:textId="77777777" w:rsidR="00A45872" w:rsidRDefault="00A45872" w:rsidP="00A45872">
      <w:pPr>
        <w:pStyle w:val="NoSpacing"/>
        <w:jc w:val="center"/>
        <w:rPr>
          <w:rFonts w:ascii="Century Gothic" w:hAnsi="Century Gothic"/>
          <w:b/>
          <w:bCs/>
          <w:sz w:val="28"/>
          <w:szCs w:val="28"/>
        </w:rPr>
      </w:pPr>
    </w:p>
    <w:p w14:paraId="0817B6C3" w14:textId="77777777" w:rsidR="00A45872" w:rsidRPr="001C7D5D" w:rsidRDefault="00A45872" w:rsidP="00A45872">
      <w:pPr>
        <w:pStyle w:val="NoSpacing"/>
        <w:jc w:val="center"/>
        <w:rPr>
          <w:rFonts w:ascii="Century Gothic" w:hAnsi="Century Gothic"/>
          <w:b/>
          <w:bCs/>
          <w:sz w:val="28"/>
          <w:szCs w:val="28"/>
        </w:rPr>
      </w:pPr>
    </w:p>
    <w:p w14:paraId="10CB18C8" w14:textId="77777777" w:rsidR="00A45872" w:rsidRPr="0035077E" w:rsidRDefault="00A45872" w:rsidP="00A45872">
      <w:pPr>
        <w:pStyle w:val="ListParagraph"/>
        <w:numPr>
          <w:ilvl w:val="0"/>
          <w:numId w:val="1"/>
        </w:numPr>
        <w:spacing w:line="360" w:lineRule="auto"/>
        <w:jc w:val="both"/>
        <w:rPr>
          <w:rFonts w:ascii="Century Gothic" w:hAnsi="Century Gothic"/>
          <w:b/>
          <w:bCs/>
          <w:sz w:val="24"/>
          <w:szCs w:val="24"/>
        </w:rPr>
      </w:pPr>
      <w:r w:rsidRPr="00333C2C">
        <w:rPr>
          <w:rFonts w:ascii="Century Gothic" w:hAnsi="Century Gothic"/>
          <w:b/>
          <w:bCs/>
        </w:rPr>
        <w:t>Introduction |</w:t>
      </w:r>
    </w:p>
    <w:p w14:paraId="5A825E23" w14:textId="77777777" w:rsidR="00A45872" w:rsidRPr="001C7D5D" w:rsidRDefault="00A45872" w:rsidP="00A45872">
      <w:pPr>
        <w:spacing w:line="360" w:lineRule="auto"/>
        <w:jc w:val="both"/>
        <w:rPr>
          <w:rFonts w:ascii="Century Gothic" w:hAnsi="Century Gothic" w:cs="Arial"/>
          <w:sz w:val="20"/>
          <w:szCs w:val="20"/>
          <w:shd w:val="clear" w:color="auto" w:fill="FFFFFF"/>
        </w:rPr>
      </w:pPr>
      <w:r w:rsidRPr="001C7D5D">
        <w:rPr>
          <w:rStyle w:val="HTMLCite"/>
          <w:rFonts w:ascii="Century Gothic" w:hAnsi="Century Gothic" w:cs="Arial"/>
          <w:sz w:val="20"/>
          <w:szCs w:val="20"/>
        </w:rPr>
        <w:t>Drexler, K. Eric (1986)</w:t>
      </w:r>
      <w:r w:rsidRPr="001C7D5D">
        <w:rPr>
          <w:rFonts w:ascii="Century Gothic" w:hAnsi="Century Gothic"/>
          <w:sz w:val="20"/>
          <w:szCs w:val="20"/>
        </w:rPr>
        <w:t xml:space="preserve"> This topic is all about </w:t>
      </w:r>
      <w:r w:rsidRPr="001C7D5D">
        <w:rPr>
          <w:rFonts w:ascii="Century Gothic" w:hAnsi="Century Gothic"/>
          <w:b/>
          <w:bCs/>
          <w:sz w:val="20"/>
          <w:szCs w:val="20"/>
        </w:rPr>
        <w:t>Nanotechnology</w:t>
      </w:r>
      <w:r w:rsidRPr="001C7D5D">
        <w:rPr>
          <w:rFonts w:ascii="Century Gothic" w:hAnsi="Century Gothic"/>
          <w:sz w:val="20"/>
          <w:szCs w:val="20"/>
        </w:rPr>
        <w:t xml:space="preserve">, it refers to the study and application of extremely small structures, typically at the scale of atoms and molecules. In the computer world, nanotechnology can be used to create computer components and devices that are much smaller and more efficient than traditional components. </w:t>
      </w:r>
      <w:r w:rsidRPr="001C7D5D">
        <w:rPr>
          <w:rFonts w:ascii="Century Gothic" w:hAnsi="Century Gothic" w:cs="Arial"/>
          <w:b/>
          <w:bCs/>
          <w:sz w:val="20"/>
          <w:szCs w:val="20"/>
          <w:shd w:val="clear" w:color="auto" w:fill="FFFFFF"/>
        </w:rPr>
        <w:t>Nanotechnology</w:t>
      </w:r>
      <w:r w:rsidRPr="001C7D5D">
        <w:rPr>
          <w:rFonts w:ascii="Century Gothic" w:hAnsi="Century Gothic" w:cs="Arial"/>
          <w:sz w:val="20"/>
          <w:szCs w:val="20"/>
          <w:shd w:val="clear" w:color="auto" w:fill="FFFFFF"/>
        </w:rPr>
        <w:t>, often shortened to nanotech, is the use of matter on </w:t>
      </w:r>
      <w:hyperlink r:id="rId7" w:tooltip="Atom" w:history="1">
        <w:r w:rsidRPr="001C7D5D">
          <w:rPr>
            <w:rStyle w:val="Hyperlink"/>
            <w:rFonts w:ascii="Century Gothic" w:hAnsi="Century Gothic" w:cs="Arial"/>
            <w:color w:val="auto"/>
            <w:sz w:val="20"/>
            <w:szCs w:val="20"/>
            <w:u w:val="none"/>
            <w:shd w:val="clear" w:color="auto" w:fill="FFFFFF"/>
          </w:rPr>
          <w:t>atomic</w:t>
        </w:r>
      </w:hyperlink>
      <w:r w:rsidRPr="001C7D5D">
        <w:rPr>
          <w:rFonts w:ascii="Century Gothic" w:hAnsi="Century Gothic" w:cs="Arial"/>
          <w:sz w:val="20"/>
          <w:szCs w:val="20"/>
          <w:shd w:val="clear" w:color="auto" w:fill="FFFFFF"/>
        </w:rPr>
        <w:t>, </w:t>
      </w:r>
      <w:hyperlink r:id="rId8" w:tooltip="Molecular" w:history="1">
        <w:r w:rsidRPr="001C7D5D">
          <w:rPr>
            <w:rStyle w:val="Hyperlink"/>
            <w:rFonts w:ascii="Century Gothic" w:hAnsi="Century Gothic" w:cs="Arial"/>
            <w:color w:val="auto"/>
            <w:sz w:val="20"/>
            <w:szCs w:val="20"/>
            <w:u w:val="none"/>
            <w:shd w:val="clear" w:color="auto" w:fill="FFFFFF"/>
          </w:rPr>
          <w:t>molecular</w:t>
        </w:r>
      </w:hyperlink>
      <w:r w:rsidRPr="001C7D5D">
        <w:rPr>
          <w:rFonts w:ascii="Century Gothic" w:hAnsi="Century Gothic" w:cs="Arial"/>
          <w:sz w:val="20"/>
          <w:szCs w:val="20"/>
          <w:shd w:val="clear" w:color="auto" w:fill="FFFFFF"/>
        </w:rPr>
        <w:t>, and </w:t>
      </w:r>
      <w:hyperlink r:id="rId9" w:tooltip="Supramolecular" w:history="1">
        <w:r w:rsidRPr="001C7D5D">
          <w:rPr>
            <w:rStyle w:val="Hyperlink"/>
            <w:rFonts w:ascii="Century Gothic" w:hAnsi="Century Gothic" w:cs="Arial"/>
            <w:color w:val="auto"/>
            <w:sz w:val="20"/>
            <w:szCs w:val="20"/>
            <w:u w:val="none"/>
            <w:shd w:val="clear" w:color="auto" w:fill="FFFFFF"/>
          </w:rPr>
          <w:t>supramolecular</w:t>
        </w:r>
      </w:hyperlink>
      <w:r w:rsidRPr="001C7D5D">
        <w:rPr>
          <w:rFonts w:ascii="Century Gothic" w:hAnsi="Century Gothic" w:cs="Arial"/>
          <w:sz w:val="20"/>
          <w:szCs w:val="20"/>
          <w:shd w:val="clear" w:color="auto" w:fill="FFFFFF"/>
        </w:rPr>
        <w:t xml:space="preserve"> scales for industrial purposes. </w:t>
      </w:r>
    </w:p>
    <w:p w14:paraId="5662485E" w14:textId="77777777" w:rsidR="00A45872" w:rsidRPr="001C7D5D" w:rsidRDefault="00A45872" w:rsidP="00A45872">
      <w:pPr>
        <w:spacing w:line="360" w:lineRule="auto"/>
        <w:jc w:val="both"/>
        <w:rPr>
          <w:rFonts w:ascii="Century Gothic" w:hAnsi="Century Gothic"/>
          <w:sz w:val="20"/>
          <w:szCs w:val="20"/>
        </w:rPr>
      </w:pPr>
      <w:r w:rsidRPr="001C7D5D">
        <w:rPr>
          <w:rFonts w:ascii="Century Gothic" w:hAnsi="Century Gothic" w:cs="Arial"/>
          <w:sz w:val="20"/>
          <w:szCs w:val="20"/>
          <w:shd w:val="clear" w:color="auto" w:fill="FFFFFF"/>
        </w:rPr>
        <w:t>The earliest, widespread description of nanotechnology referred to the particular technological goal of precisely manipulating atoms and molecules for fabrication of macroscale products, also now referred to as </w:t>
      </w:r>
      <w:hyperlink r:id="rId10" w:tooltip="Molecular nanotechnology" w:history="1">
        <w:r w:rsidRPr="001C7D5D">
          <w:rPr>
            <w:rStyle w:val="Hyperlink"/>
            <w:rFonts w:ascii="Century Gothic" w:hAnsi="Century Gothic" w:cs="Arial"/>
            <w:color w:val="auto"/>
            <w:sz w:val="20"/>
            <w:szCs w:val="20"/>
            <w:u w:val="none"/>
            <w:shd w:val="clear" w:color="auto" w:fill="FFFFFF"/>
          </w:rPr>
          <w:t>molecular nanotechnology</w:t>
        </w:r>
      </w:hyperlink>
      <w:r w:rsidRPr="001C7D5D">
        <w:rPr>
          <w:rFonts w:ascii="Century Gothic" w:hAnsi="Century Gothic"/>
          <w:sz w:val="20"/>
          <w:szCs w:val="20"/>
        </w:rPr>
        <w:t xml:space="preserve">. </w:t>
      </w:r>
    </w:p>
    <w:p w14:paraId="137F2E52" w14:textId="77777777" w:rsidR="00A45872" w:rsidRPr="001C7D5D" w:rsidRDefault="00A45872" w:rsidP="00A45872">
      <w:pPr>
        <w:spacing w:line="360" w:lineRule="auto"/>
        <w:jc w:val="both"/>
        <w:rPr>
          <w:rFonts w:ascii="Century Gothic" w:hAnsi="Century Gothic"/>
          <w:sz w:val="20"/>
          <w:szCs w:val="20"/>
        </w:rPr>
      </w:pPr>
      <w:hyperlink r:id="rId11" w:tgtFrame="gft" w:tooltip="Opens in a new window" w:history="1">
        <w:r w:rsidRPr="001C7D5D">
          <w:rPr>
            <w:rStyle w:val="Hyperlink"/>
            <w:rFonts w:ascii="Century Gothic" w:hAnsi="Century Gothic"/>
            <w:color w:val="auto"/>
            <w:sz w:val="20"/>
            <w:szCs w:val="20"/>
            <w:u w:val="none"/>
          </w:rPr>
          <w:t>Nanotechnology</w:t>
        </w:r>
      </w:hyperlink>
      <w:r w:rsidRPr="001C7D5D">
        <w:rPr>
          <w:rFonts w:ascii="Century Gothic" w:hAnsi="Century Gothic"/>
          <w:sz w:val="20"/>
          <w:szCs w:val="20"/>
        </w:rPr>
        <w:t> is the term given to those areas of science and engineering where phenomena that take place at dimensions in the </w:t>
      </w:r>
      <w:hyperlink r:id="rId12" w:tgtFrame="gft" w:tooltip="Opens in a new window" w:history="1">
        <w:r w:rsidRPr="001C7D5D">
          <w:rPr>
            <w:rStyle w:val="Hyperlink"/>
            <w:rFonts w:ascii="Century Gothic" w:hAnsi="Century Gothic"/>
            <w:color w:val="auto"/>
            <w:sz w:val="20"/>
            <w:szCs w:val="20"/>
            <w:u w:val="none"/>
          </w:rPr>
          <w:t>nanometer scale</w:t>
        </w:r>
      </w:hyperlink>
      <w:r w:rsidRPr="001C7D5D">
        <w:rPr>
          <w:rFonts w:ascii="Century Gothic" w:hAnsi="Century Gothic"/>
          <w:sz w:val="20"/>
          <w:szCs w:val="20"/>
        </w:rPr>
        <w:t xml:space="preserve"> are utilized in the design, characterization, production and application of materials, structures, devices and systems. </w:t>
      </w:r>
    </w:p>
    <w:p w14:paraId="1120B00C" w14:textId="77777777" w:rsidR="00A45872" w:rsidRPr="001C7D5D" w:rsidRDefault="00A45872" w:rsidP="00A45872">
      <w:pPr>
        <w:spacing w:line="360" w:lineRule="auto"/>
        <w:jc w:val="both"/>
        <w:rPr>
          <w:rFonts w:ascii="Century Gothic" w:hAnsi="Century Gothic"/>
          <w:sz w:val="20"/>
          <w:szCs w:val="20"/>
        </w:rPr>
      </w:pPr>
      <w:r w:rsidRPr="001C7D5D">
        <w:rPr>
          <w:rFonts w:ascii="Century Gothic" w:hAnsi="Century Gothic"/>
          <w:sz w:val="20"/>
          <w:szCs w:val="20"/>
        </w:rPr>
        <w:t>Although in the natural world there are many examples of structures that exist with nanometer dimensions (hereafter referred to as the </w:t>
      </w:r>
      <w:hyperlink r:id="rId13" w:tgtFrame="gft" w:tooltip="Opens in a new window" w:history="1">
        <w:r w:rsidRPr="001C7D5D">
          <w:rPr>
            <w:rStyle w:val="Hyperlink"/>
            <w:rFonts w:ascii="Century Gothic" w:hAnsi="Century Gothic"/>
            <w:color w:val="auto"/>
            <w:sz w:val="20"/>
            <w:szCs w:val="20"/>
            <w:u w:val="none"/>
          </w:rPr>
          <w:t>nanoscale</w:t>
        </w:r>
      </w:hyperlink>
      <w:r w:rsidRPr="001C7D5D">
        <w:rPr>
          <w:rFonts w:ascii="Century Gothic" w:hAnsi="Century Gothic"/>
          <w:sz w:val="20"/>
          <w:szCs w:val="20"/>
        </w:rPr>
        <w:t>), including essential </w:t>
      </w:r>
      <w:hyperlink r:id="rId14" w:tgtFrame="gft" w:tooltip="Opens in a new window" w:history="1">
        <w:r w:rsidRPr="001C7D5D">
          <w:rPr>
            <w:rStyle w:val="Hyperlink"/>
            <w:rFonts w:ascii="Century Gothic" w:hAnsi="Century Gothic"/>
            <w:color w:val="auto"/>
            <w:sz w:val="20"/>
            <w:szCs w:val="20"/>
            <w:u w:val="none"/>
          </w:rPr>
          <w:t>molecules</w:t>
        </w:r>
      </w:hyperlink>
      <w:r w:rsidRPr="001C7D5D">
        <w:rPr>
          <w:rFonts w:ascii="Century Gothic" w:hAnsi="Century Gothic"/>
          <w:sz w:val="20"/>
          <w:szCs w:val="20"/>
        </w:rPr>
        <w:t> within the human body and components of foods, and although many technologies have incidentally involved nanoscale structures for many years, it has only been in the last quarter of a century that it has been possible to actively and intentionally modify molecules and structures within this size range. It is this control at the nanometer scale that distinguishes nanotechnology from other areas of technology. (e.g., Asia Pacific Nanotechnology Forum 2005),</w:t>
      </w:r>
    </w:p>
    <w:p w14:paraId="2E0E6EF0" w14:textId="77777777" w:rsidR="00A45872" w:rsidRDefault="00A45872" w:rsidP="00A45872">
      <w:pPr>
        <w:spacing w:line="360" w:lineRule="auto"/>
        <w:jc w:val="both"/>
        <w:rPr>
          <w:rFonts w:ascii="Century Gothic" w:hAnsi="Century Gothic"/>
          <w:sz w:val="20"/>
          <w:szCs w:val="20"/>
        </w:rPr>
      </w:pPr>
      <w:r w:rsidRPr="001C7D5D">
        <w:rPr>
          <w:rFonts w:ascii="Century Gothic" w:hAnsi="Century Gothic"/>
          <w:sz w:val="20"/>
          <w:szCs w:val="20"/>
        </w:rPr>
        <w:t>However, just as phenomena taking place at the </w:t>
      </w:r>
      <w:hyperlink r:id="rId15" w:tgtFrame="gft" w:tooltip="Opens in a new window" w:history="1">
        <w:r w:rsidRPr="001C7D5D">
          <w:rPr>
            <w:rStyle w:val="Hyperlink"/>
            <w:rFonts w:ascii="Century Gothic" w:hAnsi="Century Gothic"/>
            <w:color w:val="auto"/>
            <w:sz w:val="20"/>
            <w:szCs w:val="20"/>
            <w:u w:val="none"/>
          </w:rPr>
          <w:t>nanoscale</w:t>
        </w:r>
      </w:hyperlink>
      <w:r w:rsidRPr="001C7D5D">
        <w:rPr>
          <w:rFonts w:ascii="Century Gothic" w:hAnsi="Century Gothic"/>
          <w:sz w:val="20"/>
          <w:szCs w:val="20"/>
        </w:rPr>
        <w:t> may be quite different to those occurring at larger dimensions and may be exploitable for the benefit of mankind, so these newly identified processes and their products may expose the same humans, and the environment in general, to new health risks, possibly involving quite different mechanisms of interference with the physiology of human and environmental species.</w:t>
      </w:r>
    </w:p>
    <w:p w14:paraId="7AC2B7F6" w14:textId="77777777" w:rsidR="00A45872" w:rsidRDefault="00A45872" w:rsidP="00A45872">
      <w:pPr>
        <w:spacing w:line="360" w:lineRule="auto"/>
        <w:jc w:val="both"/>
        <w:rPr>
          <w:rFonts w:ascii="Century Gothic" w:hAnsi="Century Gothic"/>
          <w:sz w:val="20"/>
          <w:szCs w:val="20"/>
        </w:rPr>
      </w:pPr>
    </w:p>
    <w:p w14:paraId="1B186336" w14:textId="77777777" w:rsidR="00A45872" w:rsidRDefault="00A45872" w:rsidP="00A45872">
      <w:pPr>
        <w:spacing w:line="360" w:lineRule="auto"/>
        <w:jc w:val="both"/>
        <w:rPr>
          <w:rFonts w:ascii="Century Gothic" w:hAnsi="Century Gothic"/>
          <w:sz w:val="20"/>
          <w:szCs w:val="20"/>
        </w:rPr>
      </w:pPr>
    </w:p>
    <w:p w14:paraId="11A2D86D" w14:textId="77777777" w:rsidR="00A45872" w:rsidRDefault="00A45872" w:rsidP="00A45872">
      <w:pPr>
        <w:spacing w:line="360" w:lineRule="auto"/>
        <w:jc w:val="both"/>
        <w:rPr>
          <w:rFonts w:ascii="Century Gothic" w:hAnsi="Century Gothic"/>
          <w:sz w:val="20"/>
          <w:szCs w:val="20"/>
        </w:rPr>
      </w:pPr>
    </w:p>
    <w:p w14:paraId="2F557DDA" w14:textId="77777777" w:rsidR="00A45872" w:rsidRDefault="00A45872" w:rsidP="00A45872">
      <w:pPr>
        <w:spacing w:line="360" w:lineRule="auto"/>
        <w:jc w:val="both"/>
        <w:rPr>
          <w:rFonts w:ascii="Century Gothic" w:hAnsi="Century Gothic"/>
          <w:b/>
          <w:bCs/>
          <w:sz w:val="20"/>
          <w:szCs w:val="20"/>
        </w:rPr>
      </w:pPr>
    </w:p>
    <w:p w14:paraId="7DC9ED22" w14:textId="77777777" w:rsidR="00A45872" w:rsidRPr="001C7D5D" w:rsidRDefault="00A45872" w:rsidP="00A45872">
      <w:pPr>
        <w:pStyle w:val="ListParagraph"/>
        <w:numPr>
          <w:ilvl w:val="0"/>
          <w:numId w:val="1"/>
        </w:numPr>
        <w:spacing w:line="360" w:lineRule="auto"/>
        <w:jc w:val="both"/>
        <w:rPr>
          <w:rFonts w:ascii="Century Gothic" w:hAnsi="Century Gothic"/>
          <w:b/>
          <w:bCs/>
        </w:rPr>
      </w:pPr>
      <w:r w:rsidRPr="001C7D5D">
        <w:rPr>
          <w:rFonts w:ascii="Century Gothic" w:hAnsi="Century Gothic"/>
          <w:b/>
          <w:bCs/>
        </w:rPr>
        <w:t xml:space="preserve">Background of the Study | </w:t>
      </w:r>
    </w:p>
    <w:p w14:paraId="469B227E" w14:textId="77777777" w:rsidR="00A45872" w:rsidRDefault="00A45872" w:rsidP="00A45872">
      <w:pPr>
        <w:spacing w:line="360" w:lineRule="auto"/>
        <w:ind w:firstLine="360"/>
        <w:jc w:val="both"/>
        <w:rPr>
          <w:rFonts w:ascii="Century Gothic" w:hAnsi="Century Gothic"/>
          <w:sz w:val="20"/>
          <w:szCs w:val="20"/>
        </w:rPr>
      </w:pPr>
      <w:r>
        <w:rPr>
          <w:rFonts w:ascii="Century Gothic" w:hAnsi="Century Gothic"/>
          <w:sz w:val="20"/>
          <w:szCs w:val="20"/>
        </w:rPr>
        <w:t xml:space="preserve">The background of the study, </w:t>
      </w:r>
      <w:r w:rsidRPr="00E213FD">
        <w:rPr>
          <w:rFonts w:ascii="Century Gothic" w:hAnsi="Century Gothic"/>
          <w:sz w:val="20"/>
          <w:szCs w:val="20"/>
        </w:rPr>
        <w:t xml:space="preserve">Nanotechnology is </w:t>
      </w:r>
      <w:r>
        <w:rPr>
          <w:rFonts w:ascii="Century Gothic" w:hAnsi="Century Gothic"/>
          <w:sz w:val="20"/>
          <w:szCs w:val="20"/>
        </w:rPr>
        <w:t xml:space="preserve">process in </w:t>
      </w:r>
      <w:r w:rsidRPr="00E213FD">
        <w:rPr>
          <w:rFonts w:ascii="Century Gothic" w:hAnsi="Century Gothic"/>
          <w:sz w:val="20"/>
          <w:szCs w:val="20"/>
        </w:rPr>
        <w:t>the engineering of functional systems at the molecular scale. This covers both current work and concepts that are more advanced. In its original sense, nanotechnology refers to the projected ability to construct items from the bottom up, using techniques and tools being developed today to make complete, high-performance products. One </w:t>
      </w:r>
      <w:hyperlink r:id="rId16" w:tooltip="Nanometer" w:history="1">
        <w:r w:rsidRPr="001C7D5D">
          <w:rPr>
            <w:rStyle w:val="Hyperlink"/>
            <w:rFonts w:ascii="Century Gothic" w:hAnsi="Century Gothic"/>
            <w:color w:val="auto"/>
            <w:sz w:val="20"/>
            <w:szCs w:val="20"/>
            <w:u w:val="none"/>
          </w:rPr>
          <w:t>nanometer</w:t>
        </w:r>
      </w:hyperlink>
      <w:r w:rsidRPr="001C7D5D">
        <w:rPr>
          <w:rFonts w:ascii="Century Gothic" w:hAnsi="Century Gothic"/>
          <w:sz w:val="20"/>
          <w:szCs w:val="20"/>
        </w:rPr>
        <w:t> (</w:t>
      </w:r>
      <w:r w:rsidRPr="00E213FD">
        <w:rPr>
          <w:rFonts w:ascii="Century Gothic" w:hAnsi="Century Gothic"/>
          <w:sz w:val="20"/>
          <w:szCs w:val="20"/>
        </w:rPr>
        <w:t xml:space="preserve">nm) is one billionth, or 10−9, of a meter. </w:t>
      </w:r>
    </w:p>
    <w:p w14:paraId="48872067" w14:textId="77777777" w:rsidR="00A45872" w:rsidRDefault="00A45872" w:rsidP="00A45872">
      <w:pPr>
        <w:spacing w:line="360" w:lineRule="auto"/>
        <w:jc w:val="both"/>
        <w:rPr>
          <w:rFonts w:ascii="Century Gothic" w:hAnsi="Century Gothic"/>
          <w:sz w:val="20"/>
          <w:szCs w:val="20"/>
        </w:rPr>
      </w:pPr>
      <w:r w:rsidRPr="0035077E">
        <w:rPr>
          <w:rFonts w:ascii="Century Gothic" w:hAnsi="Century Gothic"/>
          <w:sz w:val="20"/>
          <w:szCs w:val="20"/>
        </w:rPr>
        <w:t>Nanotechnology, in the context of computer science, is a type of engineering geared toward building electronic components and devices measured in nanometers, which are extremely tiny in size and structure. Nanotechnology facilitates the building of functional matter and systems at the scalar level of an atom or molecule. It incorporates concepts from physics, biology, engineering, and many other disciplines.</w:t>
      </w:r>
      <w:r>
        <w:rPr>
          <w:rFonts w:ascii="Century Gothic" w:hAnsi="Century Gothic"/>
          <w:sz w:val="20"/>
          <w:szCs w:val="20"/>
        </w:rPr>
        <w:t xml:space="preserve"> (Margaret, Rouse, Technopedia, 2018).</w:t>
      </w:r>
    </w:p>
    <w:p w14:paraId="02F2E717" w14:textId="77777777" w:rsidR="00A45872" w:rsidRDefault="00A45872" w:rsidP="00A45872">
      <w:pPr>
        <w:spacing w:line="360" w:lineRule="auto"/>
        <w:jc w:val="both"/>
        <w:rPr>
          <w:rFonts w:ascii="Century Gothic" w:hAnsi="Century Gothic"/>
          <w:sz w:val="20"/>
          <w:szCs w:val="20"/>
        </w:rPr>
      </w:pPr>
      <w:r w:rsidRPr="0035077E">
        <w:rPr>
          <w:rFonts w:ascii="Century Gothic" w:hAnsi="Century Gothic"/>
          <w:sz w:val="20"/>
          <w:szCs w:val="20"/>
        </w:rPr>
        <w:t>Nanotechnology is a scientific field that uses system or component development techniques to build products on highly granular levels. Nanotechnology works through different approaches to build nano materials or products, including bottom-up, top-down, and functional system development. In a bottom-up approach, a product is designed as it evolves from its tiniest form factor to larger product. In a top-down approach, a large product may be reverse engineered to develop products scaled according to nanometer. A functional approach deals with a complete system and may incorporate bottom-up and top-down approaches.</w:t>
      </w:r>
      <w:r>
        <w:rPr>
          <w:rFonts w:ascii="Century Gothic" w:hAnsi="Century Gothic"/>
          <w:sz w:val="20"/>
          <w:szCs w:val="20"/>
        </w:rPr>
        <w:t xml:space="preserve"> (Margaret, Rouse, Technopedia, 2018).</w:t>
      </w:r>
    </w:p>
    <w:p w14:paraId="3B97FE66" w14:textId="77777777" w:rsidR="00A45872" w:rsidRDefault="00A45872" w:rsidP="00A45872">
      <w:pPr>
        <w:spacing w:line="360" w:lineRule="auto"/>
        <w:jc w:val="both"/>
        <w:rPr>
          <w:rFonts w:ascii="Century Gothic" w:hAnsi="Century Gothic"/>
          <w:sz w:val="20"/>
          <w:szCs w:val="20"/>
        </w:rPr>
      </w:pPr>
    </w:p>
    <w:p w14:paraId="51076CDE" w14:textId="77777777" w:rsidR="00A45872" w:rsidRDefault="00A45872" w:rsidP="00A45872">
      <w:pPr>
        <w:spacing w:line="360" w:lineRule="auto"/>
        <w:jc w:val="both"/>
        <w:rPr>
          <w:rFonts w:ascii="Century Gothic" w:hAnsi="Century Gothic"/>
          <w:sz w:val="20"/>
          <w:szCs w:val="20"/>
        </w:rPr>
      </w:pPr>
    </w:p>
    <w:p w14:paraId="24E85B04" w14:textId="77777777" w:rsidR="00A45872" w:rsidRDefault="00A45872" w:rsidP="00A45872">
      <w:pPr>
        <w:spacing w:line="360" w:lineRule="auto"/>
        <w:jc w:val="both"/>
        <w:rPr>
          <w:rFonts w:ascii="Century Gothic" w:hAnsi="Century Gothic"/>
          <w:sz w:val="20"/>
          <w:szCs w:val="20"/>
        </w:rPr>
      </w:pPr>
    </w:p>
    <w:p w14:paraId="00F85E2E" w14:textId="77777777" w:rsidR="00A45872" w:rsidRDefault="00A45872" w:rsidP="00A45872">
      <w:pPr>
        <w:spacing w:line="360" w:lineRule="auto"/>
        <w:jc w:val="both"/>
        <w:rPr>
          <w:rFonts w:ascii="Century Gothic" w:hAnsi="Century Gothic"/>
          <w:sz w:val="20"/>
          <w:szCs w:val="20"/>
        </w:rPr>
      </w:pPr>
    </w:p>
    <w:p w14:paraId="5341C741" w14:textId="77777777" w:rsidR="00A45872" w:rsidRDefault="00A45872" w:rsidP="00A45872">
      <w:pPr>
        <w:spacing w:line="360" w:lineRule="auto"/>
        <w:jc w:val="both"/>
        <w:rPr>
          <w:rFonts w:ascii="Century Gothic" w:hAnsi="Century Gothic"/>
          <w:sz w:val="20"/>
          <w:szCs w:val="20"/>
        </w:rPr>
      </w:pPr>
    </w:p>
    <w:p w14:paraId="1D85D977" w14:textId="77777777" w:rsidR="00A45872" w:rsidRDefault="00A45872" w:rsidP="00A45872">
      <w:pPr>
        <w:spacing w:line="360" w:lineRule="auto"/>
        <w:jc w:val="both"/>
        <w:rPr>
          <w:rFonts w:ascii="Century Gothic" w:hAnsi="Century Gothic"/>
          <w:sz w:val="20"/>
          <w:szCs w:val="20"/>
        </w:rPr>
      </w:pPr>
    </w:p>
    <w:p w14:paraId="32F468CC" w14:textId="77777777" w:rsidR="00A45872" w:rsidRDefault="00A45872" w:rsidP="00A45872">
      <w:pPr>
        <w:spacing w:line="360" w:lineRule="auto"/>
        <w:jc w:val="both"/>
        <w:rPr>
          <w:rFonts w:ascii="Century Gothic" w:hAnsi="Century Gothic"/>
          <w:sz w:val="20"/>
          <w:szCs w:val="20"/>
        </w:rPr>
      </w:pPr>
    </w:p>
    <w:p w14:paraId="74A0F8CD" w14:textId="77777777" w:rsidR="00A45872" w:rsidRDefault="00A45872" w:rsidP="00A45872">
      <w:pPr>
        <w:spacing w:line="360" w:lineRule="auto"/>
        <w:jc w:val="both"/>
        <w:rPr>
          <w:rFonts w:ascii="Century Gothic" w:hAnsi="Century Gothic"/>
          <w:sz w:val="20"/>
          <w:szCs w:val="20"/>
        </w:rPr>
      </w:pPr>
    </w:p>
    <w:p w14:paraId="5E75D625" w14:textId="77777777" w:rsidR="00A45872" w:rsidRDefault="00A45872" w:rsidP="00A45872">
      <w:pPr>
        <w:spacing w:line="360" w:lineRule="auto"/>
        <w:rPr>
          <w:rFonts w:ascii="Century Gothic" w:hAnsi="Century Gothic"/>
          <w:b/>
          <w:bCs/>
          <w:sz w:val="24"/>
          <w:szCs w:val="24"/>
        </w:rPr>
      </w:pPr>
      <w:r w:rsidRPr="00045A8A">
        <w:rPr>
          <w:rFonts w:ascii="Century Gothic" w:hAnsi="Century Gothic"/>
          <w:b/>
          <w:bCs/>
          <w:sz w:val="24"/>
          <w:szCs w:val="24"/>
        </w:rPr>
        <w:t>References:</w:t>
      </w:r>
    </w:p>
    <w:p w14:paraId="69A52514" w14:textId="77777777" w:rsidR="00A45872" w:rsidRPr="00E213FD" w:rsidRDefault="00A45872" w:rsidP="00A45872">
      <w:pPr>
        <w:spacing w:line="360" w:lineRule="auto"/>
        <w:jc w:val="both"/>
        <w:rPr>
          <w:rFonts w:ascii="Century Gothic" w:hAnsi="Century Gothic"/>
          <w:sz w:val="20"/>
          <w:szCs w:val="20"/>
        </w:rPr>
      </w:pPr>
      <w:r w:rsidRPr="00E213FD">
        <w:rPr>
          <w:rFonts w:ascii="Century Gothic" w:hAnsi="Century Gothic"/>
          <w:sz w:val="20"/>
          <w:szCs w:val="20"/>
        </w:rPr>
        <w:t>(e.g., Asia Pacific Nanotechnology Forum 2005),</w:t>
      </w:r>
      <w:r w:rsidRPr="00E213FD">
        <w:rPr>
          <w:rFonts w:ascii="Century Gothic" w:hAnsi="Century Gothic"/>
          <w:sz w:val="20"/>
          <w:szCs w:val="20"/>
          <w:lang w:val="en-US" w:eastAsia="en-US"/>
        </w:rPr>
        <w:t xml:space="preserve"> https://ec.europa.eu/health/scientific_committees/opinions_layman/en/nanotechnologies/l-3/1-introduction.htm#0p0</w:t>
      </w:r>
    </w:p>
    <w:p w14:paraId="7F8C4FB9" w14:textId="77777777" w:rsidR="00A45872" w:rsidRPr="00333C2C" w:rsidRDefault="00A45872" w:rsidP="00A45872">
      <w:pPr>
        <w:spacing w:line="360" w:lineRule="auto"/>
        <w:jc w:val="both"/>
        <w:rPr>
          <w:rFonts w:ascii="Century Gothic" w:hAnsi="Century Gothic"/>
          <w:sz w:val="20"/>
          <w:szCs w:val="20"/>
          <w:lang w:val="en-US" w:eastAsia="en-US"/>
        </w:rPr>
      </w:pPr>
      <w:proofErr w:type="spellStart"/>
      <w:r w:rsidRPr="00333C2C">
        <w:rPr>
          <w:rFonts w:ascii="Century Gothic" w:hAnsi="Century Gothic"/>
          <w:sz w:val="20"/>
          <w:szCs w:val="20"/>
          <w:lang w:val="en-US" w:eastAsia="en-US"/>
        </w:rPr>
        <w:t>Allhoff</w:t>
      </w:r>
      <w:proofErr w:type="spellEnd"/>
      <w:r w:rsidRPr="00333C2C">
        <w:rPr>
          <w:rFonts w:ascii="Century Gothic" w:hAnsi="Century Gothic"/>
          <w:sz w:val="20"/>
          <w:szCs w:val="20"/>
          <w:lang w:val="en-US" w:eastAsia="en-US"/>
        </w:rPr>
        <w:t>, Fritz; Lin, Patrick; Moore, Daniel (2010). What is nanotechnology and why does it matter? from science to ethics. John Wiley and Sons. pp. 3–5. </w:t>
      </w:r>
      <w:hyperlink r:id="rId17" w:tooltip="ISBN (identifier)" w:history="1">
        <w:r w:rsidRPr="00333C2C">
          <w:rPr>
            <w:rStyle w:val="Hyperlink"/>
            <w:rFonts w:ascii="Century Gothic" w:hAnsi="Century Gothic"/>
            <w:sz w:val="20"/>
            <w:szCs w:val="20"/>
            <w:lang w:val="en-US" w:eastAsia="en-US"/>
          </w:rPr>
          <w:t>ISBN</w:t>
        </w:r>
      </w:hyperlink>
      <w:r w:rsidRPr="00333C2C">
        <w:rPr>
          <w:rFonts w:ascii="Century Gothic" w:hAnsi="Century Gothic"/>
          <w:sz w:val="20"/>
          <w:szCs w:val="20"/>
          <w:lang w:val="en-US" w:eastAsia="en-US"/>
        </w:rPr>
        <w:t> </w:t>
      </w:r>
      <w:hyperlink r:id="rId18" w:tooltip="Special:BookSources/978-1-4051-7545-6" w:history="1">
        <w:r w:rsidRPr="00333C2C">
          <w:rPr>
            <w:rStyle w:val="Hyperlink"/>
            <w:rFonts w:ascii="Century Gothic" w:hAnsi="Century Gothic"/>
            <w:sz w:val="20"/>
            <w:szCs w:val="20"/>
            <w:lang w:val="en-US" w:eastAsia="en-US"/>
          </w:rPr>
          <w:t>978-1-4051-7545-6</w:t>
        </w:r>
      </w:hyperlink>
      <w:r w:rsidRPr="00333C2C">
        <w:rPr>
          <w:rFonts w:ascii="Century Gothic" w:hAnsi="Century Gothic"/>
          <w:sz w:val="20"/>
          <w:szCs w:val="20"/>
          <w:lang w:val="en-US" w:eastAsia="en-US"/>
        </w:rPr>
        <w:t>.</w:t>
      </w:r>
    </w:p>
    <w:p w14:paraId="44DB55C8"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Bates, D. W., Landman, A. B., Levine, D. M., &amp; Department of Medicine, Brigham and Women's Hospital, Boston, MA 02115, USA. (2014). Health apps and health policy: What is needed? </w:t>
      </w:r>
      <w:r>
        <w:rPr>
          <w:rFonts w:ascii="Century Gothic" w:hAnsi="Century Gothic"/>
          <w:i/>
          <w:iCs/>
          <w:sz w:val="20"/>
          <w:szCs w:val="20"/>
        </w:rPr>
        <w:t>Journal of the American Medical Association</w:t>
      </w:r>
      <w:r>
        <w:rPr>
          <w:rFonts w:ascii="Century Gothic" w:hAnsi="Century Gothic"/>
          <w:sz w:val="20"/>
          <w:szCs w:val="20"/>
        </w:rPr>
        <w:t xml:space="preserve">, 312(12), 1293–1294. </w:t>
      </w:r>
      <w:hyperlink r:id="rId19" w:history="1">
        <w:r>
          <w:rPr>
            <w:rStyle w:val="Hyperlink"/>
            <w:rFonts w:ascii="Century Gothic" w:hAnsi="Century Gothic"/>
            <w:sz w:val="20"/>
            <w:szCs w:val="20"/>
          </w:rPr>
          <w:t>https://doi.org/10.1001/jama.2014.13128</w:t>
        </w:r>
      </w:hyperlink>
    </w:p>
    <w:p w14:paraId="2D76B0F3"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Bennett, W. L., &amp; Strange, N. (2011). </w:t>
      </w:r>
      <w:r>
        <w:rPr>
          <w:rFonts w:ascii="Century Gothic" w:hAnsi="Century Gothic"/>
          <w:i/>
          <w:iCs/>
          <w:sz w:val="20"/>
          <w:szCs w:val="20"/>
        </w:rPr>
        <w:t>The media and society: An introduction</w:t>
      </w:r>
      <w:r>
        <w:rPr>
          <w:rFonts w:ascii="Century Gothic" w:hAnsi="Century Gothic"/>
          <w:sz w:val="20"/>
          <w:szCs w:val="20"/>
        </w:rPr>
        <w:t xml:space="preserve"> (2nd ed.). Routledge.</w:t>
      </w:r>
    </w:p>
    <w:p w14:paraId="3D6F2535" w14:textId="77777777" w:rsidR="00A45872" w:rsidRDefault="00A45872" w:rsidP="00A45872">
      <w:pPr>
        <w:spacing w:line="360" w:lineRule="auto"/>
        <w:jc w:val="both"/>
        <w:rPr>
          <w:rFonts w:ascii="Century Gothic" w:hAnsi="Century Gothic"/>
          <w:sz w:val="20"/>
          <w:szCs w:val="20"/>
        </w:rPr>
      </w:pPr>
      <w:proofErr w:type="spellStart"/>
      <w:r>
        <w:rPr>
          <w:rFonts w:ascii="Century Gothic" w:hAnsi="Century Gothic"/>
          <w:sz w:val="20"/>
          <w:szCs w:val="20"/>
        </w:rPr>
        <w:t>Cheon</w:t>
      </w:r>
      <w:proofErr w:type="spellEnd"/>
      <w:r>
        <w:rPr>
          <w:rFonts w:ascii="Century Gothic" w:hAnsi="Century Gothic"/>
          <w:sz w:val="20"/>
          <w:szCs w:val="20"/>
        </w:rPr>
        <w:t xml:space="preserve">, J., Lee, S., Crooks, S. M., &amp; Song, J. (2012). An investigation of mobile learning readiness in higher education based on the theory of planned behavior. </w:t>
      </w:r>
      <w:r>
        <w:rPr>
          <w:rFonts w:ascii="Century Gothic" w:hAnsi="Century Gothic"/>
          <w:i/>
          <w:iCs/>
          <w:sz w:val="20"/>
          <w:szCs w:val="20"/>
        </w:rPr>
        <w:t>Computers &amp; Education</w:t>
      </w:r>
      <w:r>
        <w:rPr>
          <w:rFonts w:ascii="Century Gothic" w:hAnsi="Century Gothic"/>
          <w:sz w:val="20"/>
          <w:szCs w:val="20"/>
        </w:rPr>
        <w:t xml:space="preserve">, 59(3), 1054–1064. </w:t>
      </w:r>
      <w:hyperlink r:id="rId20" w:history="1">
        <w:r>
          <w:rPr>
            <w:rStyle w:val="Hyperlink"/>
            <w:rFonts w:ascii="Century Gothic" w:hAnsi="Century Gothic"/>
            <w:sz w:val="20"/>
            <w:szCs w:val="20"/>
          </w:rPr>
          <w:t>https://doi.org/10.1016/j.compedu.2012.04.015</w:t>
        </w:r>
      </w:hyperlink>
    </w:p>
    <w:p w14:paraId="6BF32E4E" w14:textId="77777777" w:rsidR="00A45872" w:rsidRDefault="00A45872" w:rsidP="00A45872">
      <w:pPr>
        <w:spacing w:line="360" w:lineRule="auto"/>
        <w:jc w:val="both"/>
        <w:rPr>
          <w:rFonts w:ascii="Century Gothic" w:hAnsi="Century Gothic"/>
          <w:sz w:val="20"/>
          <w:szCs w:val="20"/>
          <w:lang w:val="en-US" w:eastAsia="en-US"/>
        </w:rPr>
      </w:pPr>
      <w:r w:rsidRPr="00045A8A">
        <w:rPr>
          <w:rFonts w:ascii="Century Gothic" w:hAnsi="Century Gothic"/>
          <w:sz w:val="20"/>
          <w:szCs w:val="20"/>
          <w:lang w:val="en-US" w:eastAsia="en-US"/>
        </w:rPr>
        <w:t>Drexler, K. Eric (1986). </w:t>
      </w:r>
      <w:hyperlink r:id="rId21" w:history="1">
        <w:r w:rsidRPr="00045A8A">
          <w:rPr>
            <w:rStyle w:val="Hyperlink"/>
            <w:rFonts w:ascii="Century Gothic" w:hAnsi="Century Gothic"/>
            <w:sz w:val="20"/>
            <w:szCs w:val="20"/>
            <w:lang w:val="en-US" w:eastAsia="en-US"/>
          </w:rPr>
          <w:t>Engines of Creation: The Coming Era of Nanotechnology</w:t>
        </w:r>
      </w:hyperlink>
      <w:r w:rsidRPr="00045A8A">
        <w:rPr>
          <w:rFonts w:ascii="Century Gothic" w:hAnsi="Century Gothic"/>
          <w:sz w:val="20"/>
          <w:szCs w:val="20"/>
          <w:lang w:val="en-US" w:eastAsia="en-US"/>
        </w:rPr>
        <w:t>. Doubleday. </w:t>
      </w:r>
      <w:hyperlink r:id="rId22" w:tooltip="ISBN (identifier)" w:history="1">
        <w:r w:rsidRPr="00045A8A">
          <w:rPr>
            <w:rStyle w:val="Hyperlink"/>
            <w:rFonts w:ascii="Century Gothic" w:hAnsi="Century Gothic"/>
            <w:sz w:val="20"/>
            <w:szCs w:val="20"/>
            <w:lang w:val="en-US" w:eastAsia="en-US"/>
          </w:rPr>
          <w:t>ISBN</w:t>
        </w:r>
      </w:hyperlink>
      <w:r w:rsidRPr="00045A8A">
        <w:rPr>
          <w:rFonts w:ascii="Century Gothic" w:hAnsi="Century Gothic"/>
          <w:sz w:val="20"/>
          <w:szCs w:val="20"/>
          <w:lang w:val="en-US" w:eastAsia="en-US"/>
        </w:rPr>
        <w:t> </w:t>
      </w:r>
      <w:hyperlink r:id="rId23" w:tooltip="Special:BookSources/9780385199735" w:history="1">
        <w:r w:rsidRPr="00045A8A">
          <w:rPr>
            <w:rStyle w:val="Hyperlink"/>
            <w:rFonts w:ascii="Century Gothic" w:hAnsi="Century Gothic"/>
            <w:sz w:val="20"/>
            <w:szCs w:val="20"/>
            <w:lang w:val="en-US" w:eastAsia="en-US"/>
          </w:rPr>
          <w:t>9780385199735</w:t>
        </w:r>
      </w:hyperlink>
      <w:r w:rsidRPr="00045A8A">
        <w:rPr>
          <w:rFonts w:ascii="Century Gothic" w:hAnsi="Century Gothic"/>
          <w:sz w:val="20"/>
          <w:szCs w:val="20"/>
          <w:lang w:val="en-US" w:eastAsia="en-US"/>
        </w:rPr>
        <w:t>. </w:t>
      </w:r>
      <w:hyperlink r:id="rId24" w:tooltip="OCLC (identifier)" w:history="1">
        <w:r w:rsidRPr="00045A8A">
          <w:rPr>
            <w:rStyle w:val="Hyperlink"/>
            <w:rFonts w:ascii="Century Gothic" w:hAnsi="Century Gothic"/>
            <w:sz w:val="20"/>
            <w:szCs w:val="20"/>
            <w:lang w:val="en-US" w:eastAsia="en-US"/>
          </w:rPr>
          <w:t>OCLC</w:t>
        </w:r>
      </w:hyperlink>
      <w:r w:rsidRPr="00045A8A">
        <w:rPr>
          <w:rFonts w:ascii="Century Gothic" w:hAnsi="Century Gothic"/>
          <w:sz w:val="20"/>
          <w:szCs w:val="20"/>
          <w:lang w:val="en-US" w:eastAsia="en-US"/>
        </w:rPr>
        <w:t> </w:t>
      </w:r>
      <w:hyperlink r:id="rId25" w:history="1">
        <w:r w:rsidRPr="00045A8A">
          <w:rPr>
            <w:rStyle w:val="Hyperlink"/>
            <w:rFonts w:ascii="Century Gothic" w:hAnsi="Century Gothic"/>
            <w:sz w:val="20"/>
            <w:szCs w:val="20"/>
            <w:lang w:val="en-US" w:eastAsia="en-US"/>
          </w:rPr>
          <w:t>12752328</w:t>
        </w:r>
      </w:hyperlink>
      <w:r w:rsidRPr="00045A8A">
        <w:rPr>
          <w:rFonts w:ascii="Century Gothic" w:hAnsi="Century Gothic"/>
          <w:sz w:val="20"/>
          <w:szCs w:val="20"/>
          <w:lang w:val="en-US" w:eastAsia="en-US"/>
        </w:rPr>
        <w:t>.</w:t>
      </w:r>
    </w:p>
    <w:p w14:paraId="6B444E2F"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Feldman, V. (2019). The positive and negative effects of technology on communication. </w:t>
      </w:r>
      <w:r>
        <w:rPr>
          <w:rFonts w:ascii="Century Gothic" w:hAnsi="Century Gothic"/>
          <w:i/>
          <w:iCs/>
          <w:sz w:val="20"/>
          <w:szCs w:val="20"/>
        </w:rPr>
        <w:t xml:space="preserve">Small Business - Chron.com. </w:t>
      </w:r>
      <w:hyperlink r:id="rId26" w:history="1">
        <w:r>
          <w:rPr>
            <w:rStyle w:val="Hyperlink"/>
            <w:rFonts w:ascii="Century Gothic" w:hAnsi="Century Gothic"/>
            <w:sz w:val="20"/>
            <w:szCs w:val="20"/>
          </w:rPr>
          <w:t>https://smallbusiness.chron.com/positive-negative-effects-technology-communication-26363.html</w:t>
        </w:r>
      </w:hyperlink>
    </w:p>
    <w:p w14:paraId="367857FD"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Gottschalk, F., </w:t>
      </w:r>
      <w:proofErr w:type="spellStart"/>
      <w:r w:rsidRPr="00976CA6">
        <w:rPr>
          <w:rFonts w:ascii="Century Gothic" w:hAnsi="Century Gothic"/>
          <w:sz w:val="20"/>
          <w:szCs w:val="20"/>
        </w:rPr>
        <w:t>Nowack</w:t>
      </w:r>
      <w:proofErr w:type="spellEnd"/>
      <w:r w:rsidRPr="00976CA6">
        <w:rPr>
          <w:rFonts w:ascii="Century Gothic" w:hAnsi="Century Gothic"/>
          <w:sz w:val="20"/>
          <w:szCs w:val="20"/>
        </w:rPr>
        <w:t>, B., &amp; Stintz, M. (2013). Engineered nanomaterials in waters and soils: A risk quantification based on probabilistic exposure and effect modeling. Environmental Toxicology and Chemistry, 32(6), 1278-1287. https://doi.org/10.1002/etc.2163</w:t>
      </w:r>
    </w:p>
    <w:p w14:paraId="41D44294" w14:textId="77777777" w:rsidR="00A45872" w:rsidRPr="00A10D26"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Hampton, K. N., Goulet, L. S., Rainie, L., &amp; Purcell, K. (2011). Social networking sites and our lives. </w:t>
      </w:r>
      <w:r>
        <w:rPr>
          <w:rFonts w:ascii="Century Gothic" w:hAnsi="Century Gothic"/>
          <w:i/>
          <w:iCs/>
          <w:sz w:val="20"/>
          <w:szCs w:val="20"/>
        </w:rPr>
        <w:t xml:space="preserve">Pew Research Center. </w:t>
      </w:r>
    </w:p>
    <w:p w14:paraId="070AEE0D"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Kong, X., Zhang, Y., Liang, X., Li, X., Li, Y., &amp; Li, S. (2021). Development and prospects of nanomaterials for MRI contrast agents. Frontiers in Chemistry, 9, 666903</w:t>
      </w:r>
    </w:p>
    <w:p w14:paraId="495B2ABC" w14:textId="77777777" w:rsidR="00A45872" w:rsidRDefault="00A45872" w:rsidP="00A45872">
      <w:pPr>
        <w:spacing w:line="360" w:lineRule="auto"/>
        <w:jc w:val="both"/>
        <w:rPr>
          <w:rFonts w:ascii="Century Gothic" w:hAnsi="Century Gothic"/>
          <w:sz w:val="20"/>
          <w:szCs w:val="20"/>
        </w:rPr>
      </w:pPr>
    </w:p>
    <w:p w14:paraId="4983491C"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lastRenderedPageBreak/>
        <w:t xml:space="preserve">(Margaret, Rouse, Technopedia, 2018). </w:t>
      </w:r>
      <w:r w:rsidRPr="00F15294">
        <w:rPr>
          <w:rFonts w:ascii="Century Gothic" w:hAnsi="Century Gothic"/>
          <w:sz w:val="20"/>
          <w:szCs w:val="20"/>
        </w:rPr>
        <w:t>https://www.techopedia.com/definition/3151/nanotechnology</w:t>
      </w:r>
    </w:p>
    <w:p w14:paraId="4C9896B4" w14:textId="77777777" w:rsidR="00A45872"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Maynard, A. D., Aitken, R. J., </w:t>
      </w:r>
      <w:proofErr w:type="spellStart"/>
      <w:r w:rsidRPr="00976CA6">
        <w:rPr>
          <w:rFonts w:ascii="Century Gothic" w:hAnsi="Century Gothic"/>
          <w:sz w:val="20"/>
          <w:szCs w:val="20"/>
        </w:rPr>
        <w:t>Butz</w:t>
      </w:r>
      <w:proofErr w:type="spellEnd"/>
      <w:r w:rsidRPr="00976CA6">
        <w:rPr>
          <w:rFonts w:ascii="Century Gothic" w:hAnsi="Century Gothic"/>
          <w:sz w:val="20"/>
          <w:szCs w:val="20"/>
        </w:rPr>
        <w:t xml:space="preserve">, T., Colvin, V., Donaldson, K., </w:t>
      </w:r>
      <w:proofErr w:type="spellStart"/>
      <w:r w:rsidRPr="00976CA6">
        <w:rPr>
          <w:rFonts w:ascii="Century Gothic" w:hAnsi="Century Gothic"/>
          <w:sz w:val="20"/>
          <w:szCs w:val="20"/>
        </w:rPr>
        <w:t>Oberdörster</w:t>
      </w:r>
      <w:proofErr w:type="spellEnd"/>
      <w:r w:rsidRPr="00976CA6">
        <w:rPr>
          <w:rFonts w:ascii="Century Gothic" w:hAnsi="Century Gothic"/>
          <w:sz w:val="20"/>
          <w:szCs w:val="20"/>
        </w:rPr>
        <w:t xml:space="preserve">, G., </w:t>
      </w:r>
      <w:proofErr w:type="spellStart"/>
      <w:r w:rsidRPr="00976CA6">
        <w:rPr>
          <w:rFonts w:ascii="Century Gothic" w:hAnsi="Century Gothic"/>
          <w:sz w:val="20"/>
          <w:szCs w:val="20"/>
        </w:rPr>
        <w:t>Philbert</w:t>
      </w:r>
      <w:proofErr w:type="spellEnd"/>
      <w:r w:rsidRPr="00976CA6">
        <w:rPr>
          <w:rFonts w:ascii="Century Gothic" w:hAnsi="Century Gothic"/>
          <w:sz w:val="20"/>
          <w:szCs w:val="20"/>
        </w:rPr>
        <w:t xml:space="preserve">, M. A., Ryan, J., Seaton, A., Stone, V., Tinkle, S. S., &amp; Tran, L. (2006). Safe handling of nanotechnology. Nature, 444(7117), 267-269. </w:t>
      </w:r>
    </w:p>
    <w:p w14:paraId="14DA67F0"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Park, Y. J., &amp; Kim, H. (2021). Status and prospects of graphene-based nanoelectronics. Journal of Nanomaterials, 2021, 5568658. </w:t>
      </w:r>
    </w:p>
    <w:p w14:paraId="19D20EEC"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Tian, Y., Wang, S., &amp; Cao, X. (2021). Recent progress in nanostructured electrodes for high-performance rechargeable lithium-ion batteries. Frontiers in Chemistry, 9, 726101. </w:t>
      </w:r>
    </w:p>
    <w:p w14:paraId="2A933812" w14:textId="77777777" w:rsidR="00A45872" w:rsidRPr="001C7D5D" w:rsidRDefault="00A45872" w:rsidP="00A45872">
      <w:pPr>
        <w:spacing w:line="360" w:lineRule="auto"/>
        <w:jc w:val="both"/>
        <w:rPr>
          <w:rFonts w:ascii="Century Gothic" w:hAnsi="Century Gothic"/>
          <w:sz w:val="20"/>
          <w:szCs w:val="20"/>
        </w:rPr>
      </w:pPr>
    </w:p>
    <w:p w14:paraId="6CDAD730" w14:textId="77777777" w:rsidR="00A45872" w:rsidRPr="001C7D5D" w:rsidRDefault="00A45872" w:rsidP="00A45872">
      <w:pPr>
        <w:rPr>
          <w:rFonts w:ascii="Century Gothic" w:hAnsi="Century Gothic"/>
          <w:sz w:val="20"/>
          <w:szCs w:val="20"/>
        </w:rPr>
      </w:pPr>
    </w:p>
    <w:p w14:paraId="3E468151" w14:textId="77777777" w:rsidR="00A45872" w:rsidRDefault="00A45872"/>
    <w:sectPr w:rsidR="00A45872">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5FA22" w14:textId="77777777" w:rsidR="008018BB" w:rsidRDefault="008018BB" w:rsidP="00A45872">
      <w:pPr>
        <w:spacing w:after="0" w:line="240" w:lineRule="auto"/>
      </w:pPr>
      <w:r>
        <w:separator/>
      </w:r>
    </w:p>
  </w:endnote>
  <w:endnote w:type="continuationSeparator" w:id="0">
    <w:p w14:paraId="353EEEB7" w14:textId="77777777" w:rsidR="008018BB" w:rsidRDefault="008018BB" w:rsidP="00A4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52338" w14:textId="77777777" w:rsidR="008018BB" w:rsidRDefault="008018BB" w:rsidP="00A45872">
      <w:pPr>
        <w:spacing w:after="0" w:line="240" w:lineRule="auto"/>
      </w:pPr>
      <w:r>
        <w:separator/>
      </w:r>
    </w:p>
  </w:footnote>
  <w:footnote w:type="continuationSeparator" w:id="0">
    <w:p w14:paraId="5F83A90E" w14:textId="77777777" w:rsidR="008018BB" w:rsidRDefault="008018BB" w:rsidP="00A4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75C5" w14:textId="77777777" w:rsidR="00A45872" w:rsidRPr="003C5D14" w:rsidRDefault="00A45872" w:rsidP="00A45872">
    <w:pPr>
      <w:pStyle w:val="NormalWeb"/>
      <w:spacing w:before="0" w:beforeAutospacing="0" w:after="0" w:afterAutospacing="0"/>
      <w:jc w:val="center"/>
      <w:rPr>
        <w:sz w:val="22"/>
        <w:szCs w:val="22"/>
      </w:rPr>
    </w:pPr>
    <w:r>
      <w:rPr>
        <w:b/>
        <w:noProof/>
        <w14:ligatures w14:val="standardContextual"/>
      </w:rPr>
      <w:drawing>
        <wp:anchor distT="0" distB="0" distL="114300" distR="114300" simplePos="0" relativeHeight="251660288" behindDoc="0" locked="0" layoutInCell="1" allowOverlap="1" wp14:anchorId="4A51C35F" wp14:editId="3DC0EE07">
          <wp:simplePos x="0" y="0"/>
          <wp:positionH relativeFrom="margin">
            <wp:posOffset>4867789</wp:posOffset>
          </wp:positionH>
          <wp:positionV relativeFrom="paragraph">
            <wp:posOffset>-148590</wp:posOffset>
          </wp:positionV>
          <wp:extent cx="708025" cy="6057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8025" cy="605790"/>
                  </a:xfrm>
                  <a:prstGeom prst="rect">
                    <a:avLst/>
                  </a:prstGeom>
                </pic:spPr>
              </pic:pic>
            </a:graphicData>
          </a:graphic>
          <wp14:sizeRelH relativeFrom="page">
            <wp14:pctWidth>0</wp14:pctWidth>
          </wp14:sizeRelH>
          <wp14:sizeRelV relativeFrom="page">
            <wp14:pctHeight>0</wp14:pctHeight>
          </wp14:sizeRelV>
        </wp:anchor>
      </w:drawing>
    </w:r>
    <w:r w:rsidRPr="003C5D14">
      <w:rPr>
        <w:noProof/>
        <w:sz w:val="22"/>
        <w:szCs w:val="22"/>
        <w14:ligatures w14:val="standardContextual"/>
      </w:rPr>
      <w:drawing>
        <wp:anchor distT="0" distB="0" distL="114300" distR="114300" simplePos="0" relativeHeight="251659264" behindDoc="0" locked="0" layoutInCell="1" allowOverlap="1" wp14:anchorId="2D784634" wp14:editId="7A2A138D">
          <wp:simplePos x="0" y="0"/>
          <wp:positionH relativeFrom="column">
            <wp:posOffset>310224</wp:posOffset>
          </wp:positionH>
          <wp:positionV relativeFrom="paragraph">
            <wp:posOffset>-85004</wp:posOffset>
          </wp:positionV>
          <wp:extent cx="543560" cy="543560"/>
          <wp:effectExtent l="0" t="0" r="8890" b="8890"/>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43560" cy="543560"/>
                  </a:xfrm>
                  <a:prstGeom prst="rect">
                    <a:avLst/>
                  </a:prstGeom>
                </pic:spPr>
              </pic:pic>
            </a:graphicData>
          </a:graphic>
          <wp14:sizeRelH relativeFrom="page">
            <wp14:pctWidth>0</wp14:pctWidth>
          </wp14:sizeRelH>
          <wp14:sizeRelV relativeFrom="page">
            <wp14:pctHeight>0</wp14:pctHeight>
          </wp14:sizeRelV>
        </wp:anchor>
      </w:drawing>
    </w:r>
    <w:r w:rsidRPr="003C5D14">
      <w:rPr>
        <w:rFonts w:ascii="Century Gothic" w:hAnsi="Century Gothic"/>
        <w:b/>
        <w:bCs/>
        <w:color w:val="000000"/>
      </w:rPr>
      <w:t>Technological University of The Philippines Manila</w:t>
    </w:r>
  </w:p>
  <w:p w14:paraId="486AF54F" w14:textId="77777777" w:rsidR="00A45872" w:rsidRDefault="00A45872" w:rsidP="00A45872">
    <w:pPr>
      <w:pStyle w:val="NormalWeb"/>
      <w:spacing w:before="0" w:beforeAutospacing="0" w:after="0" w:afterAutospacing="0"/>
      <w:jc w:val="center"/>
    </w:pPr>
    <w:r>
      <w:rPr>
        <w:rFonts w:ascii="Century Gothic" w:hAnsi="Century Gothic"/>
        <w:color w:val="000000"/>
        <w:sz w:val="20"/>
        <w:szCs w:val="20"/>
      </w:rPr>
      <w:t>College of Science Computer Studies Department</w:t>
    </w:r>
  </w:p>
  <w:p w14:paraId="62DB570B" w14:textId="77777777" w:rsidR="00A45872" w:rsidRDefault="00A45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B2301"/>
    <w:multiLevelType w:val="hybridMultilevel"/>
    <w:tmpl w:val="030668C2"/>
    <w:lvl w:ilvl="0" w:tplc="3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70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57"/>
    <w:rsid w:val="00685DB0"/>
    <w:rsid w:val="008018BB"/>
    <w:rsid w:val="00A45872"/>
    <w:rsid w:val="00AF3563"/>
    <w:rsid w:val="00BD36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4D44"/>
  <w15:chartTrackingRefBased/>
  <w15:docId w15:val="{41F0EBCE-E5EC-4F85-B7AB-B4BE68BB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72"/>
    <w:pPr>
      <w:spacing w:after="200" w:line="276" w:lineRule="auto"/>
    </w:pPr>
    <w:rPr>
      <w:rFonts w:ascii="Calibri" w:eastAsia="Times New Roman" w:hAnsi="Calibri" w:cs="Times New Roman"/>
      <w:kern w:val="0"/>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872"/>
  </w:style>
  <w:style w:type="paragraph" w:styleId="Footer">
    <w:name w:val="footer"/>
    <w:basedOn w:val="Normal"/>
    <w:link w:val="FooterChar"/>
    <w:uiPriority w:val="99"/>
    <w:unhideWhenUsed/>
    <w:rsid w:val="00A45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872"/>
  </w:style>
  <w:style w:type="paragraph" w:styleId="NormalWeb">
    <w:name w:val="Normal (Web)"/>
    <w:basedOn w:val="Normal"/>
    <w:uiPriority w:val="99"/>
    <w:semiHidden/>
    <w:unhideWhenUsed/>
    <w:rsid w:val="00A45872"/>
    <w:pPr>
      <w:spacing w:before="100" w:beforeAutospacing="1" w:after="100" w:afterAutospacing="1" w:line="240" w:lineRule="auto"/>
    </w:pPr>
    <w:rPr>
      <w:rFonts w:ascii="Times New Roman" w:hAnsi="Times New Roman"/>
      <w:sz w:val="24"/>
      <w:szCs w:val="24"/>
      <w:lang w:val="en-US"/>
    </w:rPr>
  </w:style>
  <w:style w:type="paragraph" w:styleId="NoSpacing">
    <w:name w:val="No Spacing"/>
    <w:uiPriority w:val="1"/>
    <w:qFormat/>
    <w:rsid w:val="00A45872"/>
    <w:pPr>
      <w:spacing w:after="0" w:line="240" w:lineRule="auto"/>
    </w:pPr>
    <w:rPr>
      <w:rFonts w:ascii="Calibri" w:eastAsia="Times New Roman" w:hAnsi="Calibri" w:cs="Times New Roman"/>
      <w:kern w:val="0"/>
      <w:lang w:eastAsia="en-PH"/>
      <w14:ligatures w14:val="none"/>
    </w:rPr>
  </w:style>
  <w:style w:type="paragraph" w:styleId="ListParagraph">
    <w:name w:val="List Paragraph"/>
    <w:basedOn w:val="Normal"/>
    <w:uiPriority w:val="34"/>
    <w:qFormat/>
    <w:rsid w:val="00A45872"/>
    <w:pPr>
      <w:ind w:left="720"/>
      <w:contextualSpacing/>
    </w:pPr>
  </w:style>
  <w:style w:type="character" w:styleId="Hyperlink">
    <w:name w:val="Hyperlink"/>
    <w:basedOn w:val="DefaultParagraphFont"/>
    <w:uiPriority w:val="99"/>
    <w:unhideWhenUsed/>
    <w:rsid w:val="00A45872"/>
    <w:rPr>
      <w:color w:val="0000FF"/>
      <w:u w:val="single"/>
    </w:rPr>
  </w:style>
  <w:style w:type="character" w:styleId="HTMLCite">
    <w:name w:val="HTML Cite"/>
    <w:basedOn w:val="DefaultParagraphFont"/>
    <w:uiPriority w:val="99"/>
    <w:semiHidden/>
    <w:unhideWhenUsed/>
    <w:rsid w:val="00A45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lecular" TargetMode="External"/><Relationship Id="rId13" Type="http://schemas.openxmlformats.org/officeDocument/2006/relationships/hyperlink" Target="https://ec.europa.eu/health/scientific_committees/opinions_layman/glossary/mno/nanoscale.htm" TargetMode="External"/><Relationship Id="rId18" Type="http://schemas.openxmlformats.org/officeDocument/2006/relationships/hyperlink" Target="https://en.wikipedia.org/wiki/Special:BookSources/978-1-4051-7545-6" TargetMode="External"/><Relationship Id="rId26" Type="http://schemas.openxmlformats.org/officeDocument/2006/relationships/hyperlink" Target="https://smallbusiness.chron.com/positive-negative-effects-technology-communication-26363.html" TargetMode="External"/><Relationship Id="rId3" Type="http://schemas.openxmlformats.org/officeDocument/2006/relationships/settings" Target="settings.xml"/><Relationship Id="rId21" Type="http://schemas.openxmlformats.org/officeDocument/2006/relationships/hyperlink" Target="https://archive.org/details/enginesofcreatio00drex" TargetMode="External"/><Relationship Id="rId7" Type="http://schemas.openxmlformats.org/officeDocument/2006/relationships/hyperlink" Target="https://en.wikipedia.org/wiki/Atom" TargetMode="External"/><Relationship Id="rId12" Type="http://schemas.openxmlformats.org/officeDocument/2006/relationships/hyperlink" Target="https://ec.europa.eu/health/scientific_committees/opinions_layman/glossary/mno/nanoscale.htm" TargetMode="External"/><Relationship Id="rId17" Type="http://schemas.openxmlformats.org/officeDocument/2006/relationships/hyperlink" Target="https://en.wikipedia.org/wiki/ISBN_(identifier)" TargetMode="External"/><Relationship Id="rId25" Type="http://schemas.openxmlformats.org/officeDocument/2006/relationships/hyperlink" Target="https://www.worldcat.org/oclc/12752328" TargetMode="External"/><Relationship Id="rId2" Type="http://schemas.openxmlformats.org/officeDocument/2006/relationships/styles" Target="styles.xml"/><Relationship Id="rId16" Type="http://schemas.openxmlformats.org/officeDocument/2006/relationships/hyperlink" Target="https://en.wikipedia.org/wiki/Nanometer" TargetMode="External"/><Relationship Id="rId20" Type="http://schemas.openxmlformats.org/officeDocument/2006/relationships/hyperlink" Target="https://doi.org/10.1016/j.compedu.2012.04.01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europa.eu/health/scientific_committees/opinions_layman/glossary/mno/nanotechnology.htm" TargetMode="External"/><Relationship Id="rId24" Type="http://schemas.openxmlformats.org/officeDocument/2006/relationships/hyperlink" Target="https://en.wikipedia.org/wiki/OCLC_(identifier)" TargetMode="External"/><Relationship Id="rId5" Type="http://schemas.openxmlformats.org/officeDocument/2006/relationships/footnotes" Target="footnotes.xml"/><Relationship Id="rId15" Type="http://schemas.openxmlformats.org/officeDocument/2006/relationships/hyperlink" Target="https://ec.europa.eu/health/scientific_committees/opinions_layman/glossary/mno/nanoscale.htm" TargetMode="External"/><Relationship Id="rId23" Type="http://schemas.openxmlformats.org/officeDocument/2006/relationships/hyperlink" Target="https://en.wikipedia.org/wiki/Special:BookSources/9780385199735" TargetMode="External"/><Relationship Id="rId28" Type="http://schemas.openxmlformats.org/officeDocument/2006/relationships/fontTable" Target="fontTable.xml"/><Relationship Id="rId10" Type="http://schemas.openxmlformats.org/officeDocument/2006/relationships/hyperlink" Target="https://en.wikipedia.org/wiki/Molecular_nanotechnology" TargetMode="External"/><Relationship Id="rId19" Type="http://schemas.openxmlformats.org/officeDocument/2006/relationships/hyperlink" Target="https://doi.org/10.1001/jama.2014.13128" TargetMode="External"/><Relationship Id="rId4" Type="http://schemas.openxmlformats.org/officeDocument/2006/relationships/webSettings" Target="webSettings.xml"/><Relationship Id="rId9" Type="http://schemas.openxmlformats.org/officeDocument/2006/relationships/hyperlink" Target="https://en.wikipedia.org/wiki/Supramolecular" TargetMode="External"/><Relationship Id="rId14" Type="http://schemas.openxmlformats.org/officeDocument/2006/relationships/hyperlink" Target="https://ec.europa.eu/health/scientific_committees/opinions_layman/glossary/mno/molecule.htm" TargetMode="External"/><Relationship Id="rId22" Type="http://schemas.openxmlformats.org/officeDocument/2006/relationships/hyperlink" Target="https://en.wikipedia.org/wiki/ISBN_(identifier)"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Jieson Orain</dc:creator>
  <cp:keywords/>
  <dc:description/>
  <cp:lastModifiedBy>Jieson Orain</cp:lastModifiedBy>
  <cp:revision>2</cp:revision>
  <dcterms:created xsi:type="dcterms:W3CDTF">2023-06-29T13:03:00Z</dcterms:created>
  <dcterms:modified xsi:type="dcterms:W3CDTF">2023-06-29T14:05:00Z</dcterms:modified>
</cp:coreProperties>
</file>