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pBdr>
          <w:bottom w:val="single" w:color="C00000" w:sz="12" w:space="4"/>
        </w:pBdr>
        <w:spacing w:after="200"/>
        <w:jc w:val="center"/>
      </w:pPr>
      <w:r>
        <w:rPr>
          <w:rFonts w:ascii="Arial" w:cs="Arial" w:eastAsia="Arial" w:hAnsi="Arial"/>
          <w:b/>
          <w:bCs/>
          <w:color w:val="C00000"/>
          <w:sz w:val="28"/>
          <w:szCs w:val="28"/>
        </w:rPr>
        <w:t xml:space="preserve">CONFIDENTIAL</w:t>
      </w:r>
    </w:p>
    <w:p>
      <w:pPr>
        <w:spacing w:before="200"/>
      </w:pPr>
    </w:p>
    <w:p>
      <w:pPr>
        <w:spacing w:after="60"/>
        <w:jc w:val="center"/>
      </w:pPr>
      <w:r>
        <w:rPr>
          <w:rFonts w:ascii="Arial" w:cs="Arial" w:eastAsia="Arial" w:hAnsi="Arial"/>
          <w:b/>
          <w:bCs/>
          <w:color w:val="1F3864"/>
          <w:sz w:val="56"/>
          <w:szCs w:val="56"/>
        </w:rPr>
        <w:t xml:space="preserve">Internal &amp; External Network</w:t>
      </w:r>
    </w:p>
    <w:p>
      <w:pPr>
        <w:spacing w:after="400"/>
        <w:jc w:val="center"/>
      </w:pPr>
      <w:r>
        <w:rPr>
          <w:rFonts w:ascii="Arial" w:cs="Arial" w:eastAsia="Arial" w:hAnsi="Arial"/>
          <w:b/>
          <w:bCs/>
          <w:color w:val="1F3864"/>
          <w:sz w:val="56"/>
          <w:szCs w:val="56"/>
        </w:rPr>
        <w:t xml:space="preserve">Penetration Test — Findings Report</w:t>
      </w:r>
    </w:p>
    <w:p>
      <w:pPr>
        <w:spacing w:after="100"/>
        <w:jc w:val="center"/>
      </w:pPr>
      <w:r>
        <w:rPr>
          <w:rFonts w:ascii="Arial" w:cs="Arial" w:eastAsia="Arial" w:hAnsi="Arial"/>
          <w:color w:val="2E75B6"/>
          <w:sz w:val="32"/>
          <w:szCs w:val="32"/>
        </w:rPr>
        <w:t xml:space="preserve">Acme Corporation</w:t>
      </w:r>
    </w:p>
    <w:p>
      <w:pPr>
        <w:spacing w:after="60"/>
        <w:jc w:val="center"/>
      </w:pPr>
      <w:r>
        <w:rPr>
          <w:rFonts w:ascii="Arial" w:cs="Arial" w:eastAsia="Arial" w:hAnsi="Arial"/>
          <w:color w:val="555555"/>
          <w:sz w:val="22"/>
          <w:szCs w:val="22"/>
        </w:rPr>
        <w:t xml:space="preserve">Prepared by: J. Tester  |  Date: March 5, 2026</w:t>
      </w:r>
    </w:p>
    <w:p>
      <w:pPr>
        <w:jc w:val="center"/>
      </w:pPr>
      <w:r>
        <w:rPr>
          <w:rFonts w:ascii="Arial" w:cs="Arial" w:eastAsia="Arial" w:hAnsi="Arial"/>
          <w:color w:val="555555"/>
          <w:sz w:val="22"/>
          <w:szCs w:val="22"/>
        </w:rPr>
        <w:t xml:space="preserve">Engagement Period: Feb 28 – Mar 4, 2026</w:t>
      </w:r>
    </w:p>
    <w:p>
      <w:r>
        <w:br w:type="page"/>
      </w:r>
    </w:p>
    <w:p>
      <w:pPr>
        <w:pStyle w:val="Heading1"/>
        <w:pBdr>
          <w:bottom w:val="single" w:color="2E75B6" w:sz="6" w:space="1"/>
        </w:pBdr>
        <w:spacing w:after="120" w:before="360"/>
      </w:pPr>
      <w:r>
        <w:rPr>
          <w:rFonts w:ascii="Arial" w:cs="Arial" w:eastAsia="Arial" w:hAnsi="Arial"/>
        </w:rPr>
        <w:t xml:space="preserve">1. Disclaimer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50"/>
              <w:left w:type="dxa" w:w="200"/>
              <w:bottom w:type="dxa" w:w="150"/>
              <w:right w:type="dxa" w:w="200"/>
            </w:tcMar>
          </w:tcPr>
          <w:p>
            <w:pPr>
              <w:spacing w:after="60" w:before="60"/>
            </w:pPr>
            <w:r>
              <w:rPr>
                <w:rFonts w:ascii="Arial" w:cs="Arial" w:eastAsia="Arial" w:hAnsi="Arial"/>
                <w:b w:val="false"/>
                <w:bCs w:val="false"/>
                <w:color w:val="7D5A00"/>
                <w:sz w:val="20"/>
                <w:szCs w:val="20"/>
              </w:rPr>
              <w:t xml:space="preserve">This document contains confidential and sensitive information. Unauthorized disclosure is prohibited.</w:t>
            </w:r>
          </w:p>
          <w:p>
            <w:pPr>
              <w:spacing w:after="60" w:before="60"/>
            </w:pPr>
            <w:r>
              <w:rPr>
                <w:rFonts w:ascii="Arial" w:cs="Arial" w:eastAsia="Arial" w:hAnsi="Arial"/>
                <w:b w:val="false"/>
                <w:bCs w:val="false"/>
                <w:color w:val="7D5A00"/>
                <w:sz w:val="20"/>
                <w:szCs w:val="20"/>
              </w:rPr>
              <w:t xml:space="preserve">This penetration test represents a point-in-time assessment. Acme Corporation is not responsible for vulnerabilities that arise after the engagement period (Feb 28 – Mar 4, 2026).</w:t>
            </w:r>
          </w:p>
          <w:p>
            <w:pPr>
              <w:spacing w:after="60" w:before="60"/>
            </w:pPr>
            <w:r>
              <w:rPr>
                <w:rFonts w:ascii="Arial" w:cs="Arial" w:eastAsia="Arial" w:hAnsi="Arial"/>
                <w:b w:val="false"/>
                <w:bCs w:val="false"/>
                <w:color w:val="7D5A00"/>
                <w:sz w:val="20"/>
                <w:szCs w:val="20"/>
              </w:rPr>
              <w:t xml:space="preserve">Only vulnerabilities discovered within the agreed scope are included. Due to time constraints, this report may not reflect all vulnerabilities present in the environment.</w:t>
            </w:r>
          </w:p>
        </w:tc>
      </w:tr>
    </w:tbl>
    <w:p>
      <w:pPr>
        <w:spacing w:before="200"/>
      </w:pPr>
    </w:p>
    <w:p>
      <w:pPr>
        <w:pStyle w:val="Heading1"/>
        <w:pBdr>
          <w:bottom w:val="single" w:color="2E75B6" w:sz="6" w:space="1"/>
        </w:pBdr>
        <w:spacing w:after="120" w:before="360"/>
      </w:pPr>
      <w:r>
        <w:rPr>
          <w:rFonts w:ascii="Arial" w:cs="Arial" w:eastAsia="Arial" w:hAnsi="Arial"/>
        </w:rPr>
        <w:t xml:space="preserve">2. Assessment Overview</w:t>
      </w:r>
    </w:p>
    <w:p>
      <w:pPr>
        <w:spacing w:after="60" w:before="60"/>
      </w:pPr>
      <w:r>
        <w:rPr>
          <w:rFonts w:ascii="Arial" w:cs="Arial" w:eastAsia="Arial" w:hAnsi="Arial"/>
          <w:b w:val="false"/>
          <w:bCs w:val="false"/>
          <w:color w:val="000000"/>
          <w:sz w:val="20"/>
          <w:szCs w:val="20"/>
        </w:rPr>
        <w:t xml:space="preserve">This assessment was conducted in accordance with NIST SP 800-115 Technical Guide to Information Security Testing and Examination. The engagement followed the standard penetration testing lifecycle: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540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c>
          <w:tcPr>
            <w:tcW w:type="dxa" w:w="2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Activity</w:t>
            </w:r>
          </w:p>
        </w:tc>
        <w:tc>
          <w:tcPr>
            <w:tcW w:type="dxa" w:w="5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Reconnaissance</w:t>
            </w:r>
          </w:p>
        </w:tc>
        <w:tc>
          <w:tcPr>
            <w:tcW w:type="dxa" w:w="5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OSINT — gathering publicly available information on Acme Corp</w:t>
            </w:r>
          </w:p>
        </w:tc>
      </w:tr>
      <w:tr>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w:t>
            </w:r>
          </w:p>
        </w:tc>
        <w:tc>
          <w:tcPr>
            <w:tcW w:type="dxa" w:w="2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Scanning</w:t>
            </w:r>
          </w:p>
        </w:tc>
        <w:tc>
          <w:tcPr>
            <w:tcW w:type="dxa" w:w="5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Port scanning, service enumeration on external assets</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3</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Exploitation</w:t>
            </w:r>
          </w:p>
        </w:tc>
        <w:tc>
          <w:tcPr>
            <w:tcW w:type="dxa" w:w="5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Leveraging discovered vulnerabilities to gain initial access</w:t>
            </w:r>
          </w:p>
        </w:tc>
      </w:tr>
      <w:tr>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4</w:t>
            </w:r>
          </w:p>
        </w:tc>
        <w:tc>
          <w:tcPr>
            <w:tcW w:type="dxa" w:w="2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Post-Exploitation</w:t>
            </w:r>
          </w:p>
        </w:tc>
        <w:tc>
          <w:tcPr>
            <w:tcW w:type="dxa" w:w="5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Lateral movement, privilege escalation, AD compromise</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5</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Reporting</w:t>
            </w:r>
          </w:p>
        </w:tc>
        <w:tc>
          <w:tcPr>
            <w:tcW w:type="dxa" w:w="5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Documentation of all findings with remediation guidance</w:t>
            </w:r>
          </w:p>
        </w:tc>
      </w:tr>
    </w:tbl>
    <w:p>
      <w:pPr>
        <w:spacing w:before="200"/>
      </w:pPr>
    </w:p>
    <w:p>
      <w:pPr>
        <w:pStyle w:val="Heading1"/>
        <w:pBdr>
          <w:bottom w:val="single" w:color="2E75B6" w:sz="6" w:space="1"/>
        </w:pBdr>
        <w:spacing w:after="120" w:before="360"/>
      </w:pPr>
      <w:r>
        <w:rPr>
          <w:rFonts w:ascii="Arial" w:cs="Arial" w:eastAsia="Arial" w:hAnsi="Arial"/>
        </w:rPr>
        <w:t xml:space="preserve">3. Scope</w:t>
      </w:r>
    </w:p>
    <w:p>
      <w:pPr>
        <w:pStyle w:val="Heading2"/>
        <w:spacing w:after="100" w:before="240"/>
      </w:pPr>
      <w:r>
        <w:rPr>
          <w:rFonts w:ascii="Arial" w:cs="Arial" w:eastAsia="Arial" w:hAnsi="Arial"/>
        </w:rPr>
        <w:t xml:space="preserve">In-Scope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Target</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10.10.10.0/24</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Internal Network</w:t>
            </w:r>
          </w:p>
        </w:tc>
        <w:tc>
          <w:tcPr>
            <w:tcW w:type="dxa" w:w="4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Full internal subnet</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192.168.1.50</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External Web Server</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Public-facing OWA portal</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acmecorp.com</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External Domain</w:t>
            </w:r>
          </w:p>
        </w:tc>
        <w:tc>
          <w:tcPr>
            <w:tcW w:type="dxa" w:w="4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All public subdomains</w:t>
            </w:r>
          </w:p>
        </w:tc>
      </w:tr>
    </w:tbl>
    <w:p>
      <w:pPr>
        <w:spacing w:before="140"/>
      </w:pPr>
    </w:p>
    <w:p>
      <w:pPr>
        <w:pStyle w:val="Heading2"/>
        <w:spacing w:after="100" w:before="240"/>
      </w:pPr>
      <w:r>
        <w:rPr>
          <w:rFonts w:ascii="Arial" w:cs="Arial" w:eastAsia="Arial" w:hAnsi="Arial"/>
        </w:rPr>
        <w:t xml:space="preserve">Out-of-Scope</w:t>
      </w:r>
    </w:p>
    <w:p>
      <w:pPr>
        <w:pStyle w:val="ListParagraph"/>
        <w:numPr>
          <w:ilvl w:val="0"/>
          <w:numId w:val="2"/>
        </w:numPr>
        <w:spacing w:after="40" w:before="40"/>
      </w:pPr>
      <w:r>
        <w:rPr>
          <w:rFonts w:ascii="Arial" w:cs="Arial" w:eastAsia="Arial" w:hAnsi="Arial"/>
          <w:sz w:val="20"/>
          <w:szCs w:val="20"/>
        </w:rPr>
        <w:t xml:space="preserve">DoS / DDoS attacks</w:t>
      </w:r>
    </w:p>
    <w:p>
      <w:pPr>
        <w:pStyle w:val="ListParagraph"/>
        <w:numPr>
          <w:ilvl w:val="0"/>
          <w:numId w:val="2"/>
        </w:numPr>
        <w:spacing w:after="40" w:before="40"/>
      </w:pPr>
      <w:r>
        <w:rPr>
          <w:rFonts w:ascii="Arial" w:cs="Arial" w:eastAsia="Arial" w:hAnsi="Arial"/>
          <w:sz w:val="20"/>
          <w:szCs w:val="20"/>
        </w:rPr>
        <w:t xml:space="preserve">Social engineering (phishing, vishing)</w:t>
      </w:r>
    </w:p>
    <w:p>
      <w:pPr>
        <w:pStyle w:val="ListParagraph"/>
        <w:numPr>
          <w:ilvl w:val="0"/>
          <w:numId w:val="2"/>
        </w:numPr>
        <w:spacing w:after="40" w:before="40"/>
      </w:pPr>
      <w:r>
        <w:rPr>
          <w:rFonts w:ascii="Arial" w:cs="Arial" w:eastAsia="Arial" w:hAnsi="Arial"/>
          <w:sz w:val="20"/>
          <w:szCs w:val="20"/>
        </w:rPr>
        <w:t xml:space="preserve">Physical security testing</w:t>
      </w:r>
    </w:p>
    <w:p>
      <w:pPr>
        <w:pStyle w:val="ListParagraph"/>
        <w:numPr>
          <w:ilvl w:val="0"/>
          <w:numId w:val="2"/>
        </w:numPr>
        <w:spacing w:after="40" w:before="40"/>
      </w:pPr>
      <w:r>
        <w:rPr>
          <w:rFonts w:ascii="Arial" w:cs="Arial" w:eastAsia="Arial" w:hAnsi="Arial"/>
          <w:sz w:val="20"/>
          <w:szCs w:val="20"/>
        </w:rPr>
        <w:t xml:space="preserve">Any assets not listed in the In-Scope table above</w:t>
      </w:r>
    </w:p>
    <w:p>
      <w:pPr>
        <w:spacing w:before="200"/>
      </w:pPr>
    </w:p>
    <w:p>
      <w:pPr>
        <w:pStyle w:val="Heading1"/>
        <w:pBdr>
          <w:bottom w:val="single" w:color="2E75B6" w:sz="6" w:space="1"/>
        </w:pBdr>
        <w:spacing w:after="120" w:before="360"/>
      </w:pPr>
      <w:r>
        <w:rPr>
          <w:rFonts w:ascii="Arial" w:cs="Arial" w:eastAsia="Arial" w:hAnsi="Arial"/>
        </w:rPr>
        <w:t xml:space="preserve">4. Findings Severity Summary</w:t>
      </w:r>
    </w:p>
    <w:p>
      <w:pPr>
        <w:spacing w:after="60" w:before="60"/>
      </w:pPr>
      <w:r>
        <w:rPr>
          <w:rFonts w:ascii="Arial" w:cs="Arial" w:eastAsia="Arial" w:hAnsi="Arial"/>
          <w:b w:val="false"/>
          <w:bCs w:val="false"/>
          <w:color w:val="000000"/>
          <w:sz w:val="20"/>
          <w:szCs w:val="20"/>
        </w:rPr>
        <w:t xml:space="preserve">All vulnerabilities are rated using the CVSS v3 scoring standard. Severity is determined by assessing Likelihood (attack complexity, authentication requirements, available exploits) and Impact (confidentiality, integrity, and availability).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660"/>
        <w:gridCol w:w="180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Severity</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Count</w:t>
            </w:r>
          </w:p>
        </w:tc>
        <w:tc>
          <w:tcPr>
            <w:tcW w:type="dxa" w:w="36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CVSS Score Range</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Color</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0000"/>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w:t>
            </w:r>
          </w:p>
        </w:tc>
        <w:tc>
          <w:tcPr>
            <w:tcW w:type="dxa" w:w="36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9.0 – 10.0</w:t>
            </w:r>
          </w:p>
        </w:tc>
        <w:tc>
          <w:tcPr>
            <w:tcW w:type="dxa" w:w="1800"/>
            <w:tcBorders>
              <w:top w:val="single" w:color="CCCCCC" w:sz="1"/>
              <w:left w:val="single" w:color="CCCCCC" w:sz="1"/>
              <w:bottom w:val="single" w:color="CCCCCC" w:sz="1"/>
              <w:right w:val="single" w:color="CCCCCC" w:sz="1"/>
            </w:tcBorders>
            <w:shd w:fill="C00000"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bCs/>
                <w:color w:val="E26B0A"/>
                <w:sz w:val="20"/>
                <w:szCs w:val="20"/>
              </w:rPr>
              <w:t xml:space="preserve">High</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w:t>
            </w:r>
          </w:p>
        </w:tc>
        <w:tc>
          <w:tcPr>
            <w:tcW w:type="dxa" w:w="36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7.0 – 8.9</w:t>
            </w:r>
          </w:p>
        </w:tc>
        <w:tc>
          <w:tcPr>
            <w:tcW w:type="dxa" w:w="1800"/>
            <w:tcBorders>
              <w:top w:val="single" w:color="CCCCCC" w:sz="1"/>
              <w:left w:val="single" w:color="CCCCCC" w:sz="1"/>
              <w:bottom w:val="single" w:color="CCCCCC" w:sz="1"/>
              <w:right w:val="single" w:color="CCCCCC" w:sz="1"/>
            </w:tcBorders>
            <w:shd w:fill="E26B0A" w:val="clear"/>
            <w:tcMar>
              <w:top w:type="dxa" w:w="100"/>
              <w:left w:type="dxa" w:w="150"/>
              <w:bottom w:type="dxa" w:w="100"/>
              <w:right w:type="dxa" w:w="150"/>
            </w:tcMar>
            <w:vAlign w:val="center"/>
          </w:tcPr>
          <w:p>
            <w:pPr>
              <w:jc w:val="center"/>
            </w:pPr>
            <w:r>
              <w:rPr>
                <w:rFonts w:ascii="Arial" w:cs="Arial" w:eastAsia="Arial" w:hAnsi="Arial"/>
                <w:b w:val="false"/>
                <w:bCs w:val="false"/>
                <w:color w:val="E26B0A"/>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BF8F00"/>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w:t>
            </w:r>
          </w:p>
        </w:tc>
        <w:tc>
          <w:tcPr>
            <w:tcW w:type="dxa" w:w="36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4.0 – 6.9</w:t>
            </w:r>
          </w:p>
        </w:tc>
        <w:tc>
          <w:tcPr>
            <w:tcW w:type="dxa" w:w="1800"/>
            <w:tcBorders>
              <w:top w:val="single" w:color="CCCCCC" w:sz="1"/>
              <w:left w:val="single" w:color="CCCCCC" w:sz="1"/>
              <w:bottom w:val="single" w:color="CCCCCC" w:sz="1"/>
              <w:right w:val="single" w:color="CCCCCC" w:sz="1"/>
            </w:tcBorders>
            <w:shd w:fill="BF8F00" w:val="clear"/>
            <w:tcMar>
              <w:top w:type="dxa" w:w="100"/>
              <w:left w:type="dxa" w:w="150"/>
              <w:bottom w:type="dxa" w:w="100"/>
              <w:right w:type="dxa" w:w="150"/>
            </w:tcMar>
            <w:vAlign w:val="center"/>
          </w:tcPr>
          <w:p>
            <w:pPr>
              <w:jc w:val="center"/>
            </w:pPr>
            <w:r>
              <w:rPr>
                <w:rFonts w:ascii="Arial" w:cs="Arial" w:eastAsia="Arial" w:hAnsi="Arial"/>
                <w:b w:val="false"/>
                <w:bCs w:val="false"/>
                <w:color w:val="BF8F00"/>
                <w:sz w:val="20"/>
                <w:szCs w:val="20"/>
              </w:rPr>
              <w:t xml:space="preserve">■</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bCs/>
                <w:color w:val="375623"/>
                <w:sz w:val="20"/>
                <w:szCs w:val="20"/>
              </w:rPr>
              <w:t xml:space="preserve">Low</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w:t>
            </w:r>
          </w:p>
        </w:tc>
        <w:tc>
          <w:tcPr>
            <w:tcW w:type="dxa" w:w="36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0.1 – 3.9</w:t>
            </w:r>
          </w:p>
        </w:tc>
        <w:tc>
          <w:tcPr>
            <w:tcW w:type="dxa" w:w="1800"/>
            <w:tcBorders>
              <w:top w:val="single" w:color="CCCCCC" w:sz="1"/>
              <w:left w:val="single" w:color="CCCCCC" w:sz="1"/>
              <w:bottom w:val="single" w:color="CCCCCC" w:sz="1"/>
              <w:right w:val="single" w:color="CCCCCC" w:sz="1"/>
            </w:tcBorders>
            <w:shd w:fill="70AD47" w:val="clear"/>
            <w:tcMar>
              <w:top w:type="dxa" w:w="100"/>
              <w:left w:type="dxa" w:w="150"/>
              <w:bottom w:type="dxa" w:w="100"/>
              <w:right w:type="dxa" w:w="150"/>
            </w:tcMar>
            <w:vAlign w:val="center"/>
          </w:tcPr>
          <w:p>
            <w:pPr>
              <w:jc w:val="center"/>
            </w:pPr>
            <w:r>
              <w:rPr>
                <w:rFonts w:ascii="Arial" w:cs="Arial" w:eastAsia="Arial" w:hAnsi="Arial"/>
                <w:b w:val="false"/>
                <w:bCs w:val="false"/>
                <w:color w:val="70AD47"/>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4472C4"/>
                <w:sz w:val="20"/>
                <w:szCs w:val="20"/>
              </w:rPr>
              <w:t xml:space="preserve">Informational</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w:t>
            </w:r>
          </w:p>
        </w:tc>
        <w:tc>
          <w:tcPr>
            <w:tcW w:type="dxa" w:w="36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0.0</w:t>
            </w:r>
          </w:p>
        </w:tc>
        <w:tc>
          <w:tcPr>
            <w:tcW w:type="dxa" w:w="1800"/>
            <w:tcBorders>
              <w:top w:val="single" w:color="CCCCCC" w:sz="1"/>
              <w:left w:val="single" w:color="CCCCCC" w:sz="1"/>
              <w:bottom w:val="single" w:color="CCCCCC" w:sz="1"/>
              <w:right w:val="single" w:color="CCCCCC" w:sz="1"/>
            </w:tcBorders>
            <w:shd w:fill="4472C4" w:val="clear"/>
            <w:tcMar>
              <w:top w:type="dxa" w:w="100"/>
              <w:left w:type="dxa" w:w="150"/>
              <w:bottom w:type="dxa" w:w="100"/>
              <w:right w:type="dxa" w:w="150"/>
            </w:tcMar>
            <w:vAlign w:val="center"/>
          </w:tcPr>
          <w:p>
            <w:pPr>
              <w:jc w:val="center"/>
            </w:pPr>
            <w:r>
              <w:rPr>
                <w:rFonts w:ascii="Arial" w:cs="Arial" w:eastAsia="Arial" w:hAnsi="Arial"/>
                <w:b w:val="false"/>
                <w:bCs w:val="false"/>
                <w:color w:val="4472C4"/>
                <w:sz w:val="20"/>
                <w:szCs w:val="20"/>
              </w:rPr>
              <w:t xml:space="preserve">■</w:t>
            </w:r>
          </w:p>
        </w:tc>
      </w:tr>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Total</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7</w:t>
            </w:r>
          </w:p>
        </w:tc>
        <w:tc>
          <w:tcPr>
            <w:tcW w:type="dxa" w:w="36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w:r>
          </w:p>
        </w:tc>
      </w:tr>
    </w:tbl>
    <w:p>
      <w:r>
        <w:br w:type="page"/>
      </w:r>
    </w:p>
    <w:p>
      <w:pPr>
        <w:pStyle w:val="Heading1"/>
        <w:pBdr>
          <w:bottom w:val="single" w:color="2E75B6" w:sz="6" w:space="1"/>
        </w:pBdr>
        <w:spacing w:after="120" w:before="360"/>
      </w:pPr>
      <w:r>
        <w:rPr>
          <w:rFonts w:ascii="Arial" w:cs="Arial" w:eastAsia="Arial" w:hAnsi="Arial"/>
        </w:rPr>
        <w:t xml:space="preserve">5. Executive Summary</w:t>
      </w:r>
    </w:p>
    <w:p>
      <w:pPr>
        <w:spacing w:after="60" w:before="60"/>
      </w:pPr>
      <w:r>
        <w:rPr>
          <w:rFonts w:ascii="Arial" w:cs="Arial" w:eastAsia="Arial" w:hAnsi="Arial"/>
          <w:b w:val="false"/>
          <w:bCs w:val="false"/>
          <w:color w:val="000000"/>
          <w:sz w:val="20"/>
          <w:szCs w:val="20"/>
        </w:rPr>
        <w:t xml:space="preserve">At the request of Acme Corporation, a full-scope internal and external network penetration test was conducted from February 28 to March 4, 2026. The objective was to identify security vulnerabilities within the network infrastructure and provide remediation guidance.</w:t>
      </w:r>
    </w:p>
    <w:p>
      <w:pPr>
        <w:spacing w:before="80"/>
      </w:pPr>
    </w:p>
    <w:p>
      <w:pPr>
        <w:spacing w:after="60" w:before="60"/>
      </w:pPr>
      <w:r>
        <w:rPr>
          <w:rFonts w:ascii="Arial" w:cs="Arial" w:eastAsia="Arial" w:hAnsi="Arial"/>
          <w:b w:val="false"/>
          <w:bCs w:val="false"/>
          <w:color w:val="000000"/>
          <w:sz w:val="20"/>
          <w:szCs w:val="20"/>
        </w:rPr>
        <w:t xml:space="preserve">During the assessment, the testing team successfully compromised the entire Active Directory environment, including the domain controller, starting from a completely unauthenticated external position. Initial access was obtained by leveraging leaked employee credentials discovered during the OSINT phase, followed by credential-based attacks on the internal network that resulted in full domain compromise.</w:t>
      </w:r>
    </w:p>
    <w:p>
      <w:pPr>
        <w:spacing w:before="80"/>
      </w:pPr>
    </w:p>
    <w:p>
      <w:pPr>
        <w:pStyle w:val="Heading2"/>
        <w:spacing w:after="100" w:before="240"/>
      </w:pPr>
      <w:r>
        <w:rPr>
          <w:rFonts w:ascii="Arial" w:cs="Arial" w:eastAsia="Arial" w:hAnsi="Arial"/>
        </w:rPr>
        <w:t xml:space="preserve">Testing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Engagement Type</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External + Internal Penetration Test (Black Box)</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Testing Period</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February 28 – March 4, 2026 (5 days)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Tester</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 Tester</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Initial Access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Obtained via password spray against OWA using leaked credentials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Domain Compromised</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Yes — ACMECORP\Administrator account obtained</w:t>
            </w:r>
          </w:p>
        </w:tc>
      </w:tr>
    </w:tbl>
    <w:p>
      <w:pPr>
        <w:spacing w:before="140"/>
      </w:pPr>
    </w:p>
    <w:p>
      <w:pPr>
        <w:pStyle w:val="Heading2"/>
        <w:spacing w:after="100" w:before="240"/>
      </w:pPr>
      <w:r>
        <w:rPr>
          <w:rFonts w:ascii="Arial" w:cs="Arial" w:eastAsia="Arial" w:hAnsi="Arial"/>
        </w:rPr>
        <w:t xml:space="preserve">Security Strengths</w:t>
      </w:r>
    </w:p>
    <w:p>
      <w:pPr>
        <w:pStyle w:val="ListParagraph"/>
        <w:numPr>
          <w:ilvl w:val="0"/>
          <w:numId w:val="2"/>
        </w:numPr>
        <w:spacing w:after="40" w:before="40"/>
      </w:pPr>
      <w:r>
        <w:rPr>
          <w:rFonts w:ascii="Arial" w:cs="Arial" w:eastAsia="Arial" w:hAnsi="Arial"/>
          <w:sz w:val="20"/>
          <w:szCs w:val="20"/>
        </w:rPr>
        <w:t xml:space="preserve">Firewall rules prevented direct access to internal systems from the internet</w:t>
      </w:r>
    </w:p>
    <w:p>
      <w:pPr>
        <w:pStyle w:val="ListParagraph"/>
        <w:numPr>
          <w:ilvl w:val="0"/>
          <w:numId w:val="2"/>
        </w:numPr>
        <w:spacing w:after="40" w:before="40"/>
      </w:pPr>
      <w:r>
        <w:rPr>
          <w:rFonts w:ascii="Arial" w:cs="Arial" w:eastAsia="Arial" w:hAnsi="Arial"/>
          <w:sz w:val="20"/>
          <w:szCs w:val="20"/>
        </w:rPr>
        <w:t xml:space="preserve">Some systems were patched against known public exploits</w:t>
      </w:r>
    </w:p>
    <w:p>
      <w:pPr>
        <w:pStyle w:val="ListParagraph"/>
        <w:numPr>
          <w:ilvl w:val="0"/>
          <w:numId w:val="2"/>
        </w:numPr>
        <w:spacing w:after="40" w:before="40"/>
      </w:pPr>
      <w:r>
        <w:rPr>
          <w:rFonts w:ascii="Arial" w:cs="Arial" w:eastAsia="Arial" w:hAnsi="Arial"/>
          <w:sz w:val="20"/>
          <w:szCs w:val="20"/>
        </w:rPr>
        <w:t xml:space="preserve">Network segmentation partially limited lateral movement</w:t>
      </w:r>
    </w:p>
    <w:p>
      <w:pPr>
        <w:spacing w:before="100"/>
      </w:pPr>
    </w:p>
    <w:p>
      <w:pPr>
        <w:pStyle w:val="Heading2"/>
        <w:spacing w:after="100" w:before="240"/>
      </w:pPr>
      <w:r>
        <w:rPr>
          <w:rFonts w:ascii="Arial" w:cs="Arial" w:eastAsia="Arial" w:hAnsi="Arial"/>
        </w:rPr>
        <w:t xml:space="preserve">Security Weaknesses</w:t>
      </w:r>
    </w:p>
    <w:p>
      <w:pPr>
        <w:pStyle w:val="ListParagraph"/>
        <w:numPr>
          <w:ilvl w:val="0"/>
          <w:numId w:val="2"/>
        </w:numPr>
        <w:spacing w:after="40" w:before="40"/>
      </w:pPr>
      <w:r>
        <w:rPr>
          <w:rFonts w:ascii="Arial" w:cs="Arial" w:eastAsia="Arial" w:hAnsi="Arial"/>
          <w:sz w:val="20"/>
          <w:szCs w:val="20"/>
        </w:rPr>
        <w:t xml:space="preserve">No MFA enforced on external-facing services (OWA, VPN)</w:t>
      </w:r>
    </w:p>
    <w:p>
      <w:pPr>
        <w:pStyle w:val="ListParagraph"/>
        <w:numPr>
          <w:ilvl w:val="0"/>
          <w:numId w:val="2"/>
        </w:numPr>
        <w:spacing w:after="40" w:before="40"/>
      </w:pPr>
      <w:r>
        <w:rPr>
          <w:rFonts w:ascii="Arial" w:cs="Arial" w:eastAsia="Arial" w:hAnsi="Arial"/>
          <w:sz w:val="20"/>
          <w:szCs w:val="20"/>
        </w:rPr>
        <w:t xml:space="preserve">LLMNR and NBT-NS protocols enabled on the internal network</w:t>
      </w:r>
    </w:p>
    <w:p>
      <w:pPr>
        <w:pStyle w:val="ListParagraph"/>
        <w:numPr>
          <w:ilvl w:val="0"/>
          <w:numId w:val="2"/>
        </w:numPr>
        <w:spacing w:after="40" w:before="40"/>
      </w:pPr>
      <w:r>
        <w:rPr>
          <w:rFonts w:ascii="Arial" w:cs="Arial" w:eastAsia="Arial" w:hAnsi="Arial"/>
          <w:sz w:val="20"/>
          <w:szCs w:val="20"/>
        </w:rPr>
        <w:t xml:space="preserve">Weak and reused passwords across multiple domain accounts</w:t>
      </w:r>
    </w:p>
    <w:p>
      <w:pPr>
        <w:pStyle w:val="ListParagraph"/>
        <w:numPr>
          <w:ilvl w:val="0"/>
          <w:numId w:val="2"/>
        </w:numPr>
        <w:spacing w:after="40" w:before="40"/>
      </w:pPr>
      <w:r>
        <w:rPr>
          <w:rFonts w:ascii="Arial" w:cs="Arial" w:eastAsia="Arial" w:hAnsi="Arial"/>
          <w:sz w:val="20"/>
          <w:szCs w:val="20"/>
        </w:rPr>
        <w:t xml:space="preserve">Service accounts configured with excessive privileges</w:t>
      </w:r>
    </w:p>
    <w:p>
      <w:pPr>
        <w:pStyle w:val="ListParagraph"/>
        <w:numPr>
          <w:ilvl w:val="0"/>
          <w:numId w:val="2"/>
        </w:numPr>
        <w:spacing w:after="40" w:before="40"/>
      </w:pPr>
      <w:r>
        <w:rPr>
          <w:rFonts w:ascii="Arial" w:cs="Arial" w:eastAsia="Arial" w:hAnsi="Arial"/>
          <w:sz w:val="20"/>
          <w:szCs w:val="20"/>
        </w:rPr>
        <w:t xml:space="preserve">No account lockout policy — unlimited login attempts allowed</w:t>
      </w:r>
    </w:p>
    <w:p>
      <w:r>
        <w:br w:type="page"/>
      </w:r>
    </w:p>
    <w:p>
      <w:pPr>
        <w:pStyle w:val="Heading1"/>
        <w:pBdr>
          <w:bottom w:val="single" w:color="2E75B6" w:sz="6" w:space="1"/>
        </w:pBdr>
        <w:spacing w:after="120" w:before="360"/>
      </w:pPr>
      <w:r>
        <w:rPr>
          <w:rFonts w:ascii="Arial" w:cs="Arial" w:eastAsia="Arial" w:hAnsi="Arial"/>
        </w:rPr>
        <w:t xml:space="preserve">6. Technical Findings</w:t>
      </w:r>
    </w:p>
    <w:p>
      <w:pPr>
        <w:spacing w:after="60" w:before="60"/>
      </w:pPr>
      <w:r>
        <w:rPr>
          <w:rFonts w:ascii="Arial" w:cs="Arial" w:eastAsia="Arial" w:hAnsi="Arial"/>
          <w:b w:val="false"/>
          <w:bCs w:val="false"/>
          <w:color w:val="000000"/>
          <w:sz w:val="20"/>
          <w:szCs w:val="20"/>
        </w:rPr>
        <w:t xml:space="preserve">The following section details each vulnerability discovered during the engagement, ordered from most critical to least critical. Each finding includes a description, business impact, steps to reproduce, and specific remediation guidance.</w:t>
      </w:r>
    </w:p>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263238" w:val="clear"/>
            <w:tcMar>
              <w:top w:type="dxa" w:w="120"/>
              <w:left w:type="dxa" w:w="200"/>
              <w:bottom w:type="dxa" w:w="120"/>
              <w:right w:type="dxa" w:w="200"/>
            </w:tcMar>
          </w:tcPr>
          <w:p>
            <w:r>
              <w:rPr>
                <w:rFonts w:ascii="Arial" w:cs="Arial" w:eastAsia="Arial" w:hAnsi="Arial"/>
                <w:b/>
                <w:bCs/>
                <w:color w:val="FFFFFF"/>
                <w:sz w:val="22"/>
                <w:szCs w:val="22"/>
              </w:rPr>
              <w:t xml:space="preserve">[F1] LLMNR / NBT-NS Poisoning</w:t>
            </w:r>
          </w:p>
        </w:tc>
        <w:tc>
          <w:tcPr>
            <w:tcW w:type="dxa" w:w="2160"/>
            <w:tcBorders>
              <w:top w:val="single" w:color="CCCCCC" w:sz="1"/>
              <w:left w:val="single" w:color="CCCCCC" w:sz="1"/>
              <w:bottom w:val="single" w:color="CCCCCC" w:sz="1"/>
              <w:right w:val="single" w:color="CCCCCC" w:sz="1"/>
            </w:tcBorders>
            <w:shd w:fill="C00000" w:val="clear"/>
            <w:tcMar>
              <w:top w:type="dxa" w:w="120"/>
              <w:left w:type="dxa" w:w="150"/>
              <w:bottom w:type="dxa" w:w="120"/>
              <w:right w:type="dxa" w:w="150"/>
            </w:tcMar>
            <w:vAlign w:val="center"/>
          </w:tcPr>
          <w:p>
            <w:pPr>
              <w:jc w:val="center"/>
            </w:pPr>
            <w:r>
              <w:rPr>
                <w:rFonts w:ascii="Arial" w:cs="Arial" w:eastAsia="Arial" w:hAnsi="Arial"/>
                <w:b/>
                <w:bCs/>
                <w:color w:val="FFFFFF"/>
                <w:sz w:val="22"/>
                <w:szCs w:val="22"/>
              </w:rPr>
              <w:t xml:space="preserve">Critical</w:t>
            </w:r>
            <w:r>
              <w:rPr>
                <w:rFonts w:ascii="Arial" w:cs="Arial" w:eastAsia="Arial" w:hAnsi="Arial"/>
                <w:color w:val="FFFFFF"/>
                <w:sz w:val="18"/>
                <w:szCs w:val="18"/>
              </w:rPr>
              <w:t xml:space="preserve">  (CVSS: 9.8)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LLMNR (Link-Local Multicast Name Resolution) and NBT-NS are protocols used by Windows for local hostname resolution when DNS fails. An unauthenticated attacker on the same network segment can respond to these broadcast queries and capture NTLMv2 hashes from domain users.</w:t>
            </w:r>
          </w:p>
        </w:tc>
      </w:tr>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Captured NTLMv2 hashes can be cracked offline to obtain plaintext credentials. If cracking fails, hashes may be used directly in Pass-the-Hash or relay attacks. This attack requires no credentials and works against any Windows host that performs a failed DNS lookup.</w:t>
            </w:r>
          </w:p>
        </w:tc>
      </w:tr>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Steps to
Reproduce</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before="40"/>
            </w:pPr>
            <w:r>
              <w:rPr>
                <w:rFonts w:ascii="Arial" w:cs="Arial" w:eastAsia="Arial" w:hAnsi="Arial"/>
                <w:sz w:val="20"/>
                <w:szCs w:val="20"/>
              </w:rPr>
              <w:t xml:space="preserve">1. Attacker starts Responder: sudo responder -I eth0 -dwPv</w:t>
            </w:r>
          </w:p>
          <w:p>
            <w:pPr>
              <w:spacing w:after="40" w:before="40"/>
            </w:pPr>
            <w:r>
              <w:rPr>
                <w:rFonts w:ascii="Arial" w:cs="Arial" w:eastAsia="Arial" w:hAnsi="Arial"/>
                <w:sz w:val="20"/>
                <w:szCs w:val="20"/>
              </w:rPr>
              <w:t xml:space="preserve">2. Any internal user attempts to access a non-existent share (\\wronghost\share)</w:t>
            </w:r>
          </w:p>
          <w:p>
            <w:pPr>
              <w:spacing w:after="40" w:before="40"/>
            </w:pPr>
            <w:r>
              <w:rPr>
                <w:rFonts w:ascii="Arial" w:cs="Arial" w:eastAsia="Arial" w:hAnsi="Arial"/>
                <w:sz w:val="20"/>
                <w:szCs w:val="20"/>
              </w:rPr>
              <w:t xml:space="preserve">3. Responder intercepts the LLMNR query and returns a fake response</w:t>
            </w:r>
          </w:p>
          <w:p>
            <w:pPr>
              <w:spacing w:after="40" w:before="40"/>
            </w:pPr>
            <w:r>
              <w:rPr>
                <w:rFonts w:ascii="Arial" w:cs="Arial" w:eastAsia="Arial" w:hAnsi="Arial"/>
                <w:sz w:val="20"/>
                <w:szCs w:val="20"/>
              </w:rPr>
              <w:t xml:space="preserve">4. Windows sends NTLMv2 authentication to the attacker</w:t>
            </w:r>
          </w:p>
          <w:p>
            <w:pPr>
              <w:spacing w:after="40" w:before="40"/>
            </w:pPr>
            <w:r>
              <w:rPr>
                <w:rFonts w:ascii="Arial" w:cs="Arial" w:eastAsia="Arial" w:hAnsi="Arial"/>
                <w:sz w:val="20"/>
                <w:szCs w:val="20"/>
              </w:rPr>
              <w:t xml:space="preserve">5. Hash is captured: jdoe::ACMECORP:aaabbbccc...</w:t>
            </w:r>
          </w:p>
          <w:p>
            <w:pPr>
              <w:spacing w:after="40" w:before="40"/>
            </w:pPr>
            <w:r>
              <w:rPr>
                <w:rFonts w:ascii="Arial" w:cs="Arial" w:eastAsia="Arial" w:hAnsi="Arial"/>
                <w:sz w:val="20"/>
                <w:szCs w:val="20"/>
              </w:rPr>
              <w:t xml:space="preserve">6. Cracked offline: hashcat -m 5600 hash.txt rockyou.txt → Password1!</w:t>
            </w:r>
          </w:p>
        </w:tc>
      </w:tr>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Remediation</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pStyle w:val="ListParagraph"/>
              <w:numPr>
                <w:ilvl w:val="0"/>
                <w:numId w:val="2"/>
              </w:numPr>
              <w:spacing w:after="40" w:before="40"/>
            </w:pPr>
            <w:r>
              <w:rPr>
                <w:rFonts w:ascii="Arial" w:cs="Arial" w:eastAsia="Arial" w:hAnsi="Arial"/>
                <w:sz w:val="20"/>
                <w:szCs w:val="20"/>
              </w:rPr>
              <w:t xml:space="preserve">Disable LLMNR via GPO: Computer Configuration → Administrative Templates → Network → DNS Client → Turn off multicast name resolution: Enabled</w:t>
            </w:r>
          </w:p>
          <w:p>
            <w:pPr>
              <w:pStyle w:val="ListParagraph"/>
              <w:numPr>
                <w:ilvl w:val="0"/>
                <w:numId w:val="2"/>
              </w:numPr>
              <w:spacing w:after="40" w:before="40"/>
            </w:pPr>
            <w:r>
              <w:rPr>
                <w:rFonts w:ascii="Arial" w:cs="Arial" w:eastAsia="Arial" w:hAnsi="Arial"/>
                <w:sz w:val="20"/>
                <w:szCs w:val="20"/>
              </w:rPr>
              <w:t xml:space="preserve">Disable NBT-NS: Network Adapter → TCP/IP Advanced → WINS tab → Disable NetBIOS over TCP/IP</w:t>
            </w:r>
          </w:p>
          <w:p>
            <w:pPr>
              <w:pStyle w:val="ListParagraph"/>
              <w:numPr>
                <w:ilvl w:val="0"/>
                <w:numId w:val="2"/>
              </w:numPr>
              <w:spacing w:after="40" w:before="40"/>
            </w:pPr>
            <w:r>
              <w:rPr>
                <w:rFonts w:ascii="Arial" w:cs="Arial" w:eastAsia="Arial" w:hAnsi="Arial"/>
                <w:sz w:val="20"/>
                <w:szCs w:val="20"/>
              </w:rPr>
              <w:t xml:space="preserve">Enforce strong password policy (minimum 15 characters, complexity required) to increase cracking resistance</w:t>
            </w:r>
          </w:p>
          <w:p>
            <w:pPr>
              <w:pStyle w:val="ListParagraph"/>
              <w:numPr>
                <w:ilvl w:val="0"/>
                <w:numId w:val="2"/>
              </w:numPr>
              <w:spacing w:after="40" w:before="40"/>
            </w:pPr>
            <w:r>
              <w:rPr>
                <w:rFonts w:ascii="Arial" w:cs="Arial" w:eastAsia="Arial" w:hAnsi="Arial"/>
                <w:sz w:val="20"/>
                <w:szCs w:val="20"/>
              </w:rPr>
              <w:t xml:space="preserve">Enable SMB Signing on all hosts to prevent relay attacks</w:t>
            </w:r>
          </w:p>
        </w:tc>
      </w:tr>
    </w:tbl>
    <w:p>
      <w:pPr>
        <w:spacing w:after="80" w:before="0"/>
      </w:pPr>
    </w:p>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263238" w:val="clear"/>
            <w:tcMar>
              <w:top w:type="dxa" w:w="120"/>
              <w:left w:type="dxa" w:w="200"/>
              <w:bottom w:type="dxa" w:w="120"/>
              <w:right w:type="dxa" w:w="200"/>
            </w:tcMar>
          </w:tcPr>
          <w:p>
            <w:r>
              <w:rPr>
                <w:rFonts w:ascii="Arial" w:cs="Arial" w:eastAsia="Arial" w:hAnsi="Arial"/>
                <w:b/>
                <w:bCs/>
                <w:color w:val="FFFFFF"/>
                <w:sz w:val="22"/>
                <w:szCs w:val="22"/>
              </w:rPr>
              <w:t xml:space="preserve">[F2] Password Spray — OWA Portal</w:t>
            </w:r>
          </w:p>
        </w:tc>
        <w:tc>
          <w:tcPr>
            <w:tcW w:type="dxa" w:w="2160"/>
            <w:tcBorders>
              <w:top w:val="single" w:color="CCCCCC" w:sz="1"/>
              <w:left w:val="single" w:color="CCCCCC" w:sz="1"/>
              <w:bottom w:val="single" w:color="CCCCCC" w:sz="1"/>
              <w:right w:val="single" w:color="CCCCCC" w:sz="1"/>
            </w:tcBorders>
            <w:shd w:fill="C00000" w:val="clear"/>
            <w:tcMar>
              <w:top w:type="dxa" w:w="120"/>
              <w:left w:type="dxa" w:w="150"/>
              <w:bottom w:type="dxa" w:w="120"/>
              <w:right w:type="dxa" w:w="150"/>
            </w:tcMar>
            <w:vAlign w:val="center"/>
          </w:tcPr>
          <w:p>
            <w:pPr>
              <w:jc w:val="center"/>
            </w:pPr>
            <w:r>
              <w:rPr>
                <w:rFonts w:ascii="Arial" w:cs="Arial" w:eastAsia="Arial" w:hAnsi="Arial"/>
                <w:b/>
                <w:bCs/>
                <w:color w:val="FFFFFF"/>
                <w:sz w:val="22"/>
                <w:szCs w:val="22"/>
              </w:rPr>
              <w:t xml:space="preserve">Critical</w:t>
            </w:r>
            <w:r>
              <w:rPr>
                <w:rFonts w:ascii="Arial" w:cs="Arial" w:eastAsia="Arial" w:hAnsi="Arial"/>
                <w:color w:val="FFFFFF"/>
                <w:sz w:val="18"/>
                <w:szCs w:val="18"/>
              </w:rPr>
              <w:t xml:space="preserve">  (CVSS: 9.1)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The Outlook Web Access (OWA) portal at https://mail.acmecorp.com was found to have no account lockout policy and no MFA enforcement. Using email addresses discovered during OSINT, a low-and-slow password spray attack was performed without triggering any lockout.</w:t>
            </w:r>
          </w:p>
        </w:tc>
      </w:tr>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An attacker with internet access can systematically test commonly used passwords against all employee accounts. Successful authentication provides access to corporate email, calendar, and internal network via VPN — all from an unauthenticated external position.</w:t>
            </w:r>
          </w:p>
        </w:tc>
      </w:tr>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Steps to
Reproduce</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before="40"/>
            </w:pPr>
            <w:r>
              <w:rPr>
                <w:rFonts w:ascii="Arial" w:cs="Arial" w:eastAsia="Arial" w:hAnsi="Arial"/>
                <w:sz w:val="20"/>
                <w:szCs w:val="20"/>
              </w:rPr>
              <w:t xml:space="preserve">1. OSINT phase: harvested 47 employee email addresses via LinkedIn and theHarvester</w:t>
            </w:r>
          </w:p>
          <w:p>
            <w:pPr>
              <w:spacing w:after="40" w:before="40"/>
            </w:pPr>
            <w:r>
              <w:rPr>
                <w:rFonts w:ascii="Arial" w:cs="Arial" w:eastAsia="Arial" w:hAnsi="Arial"/>
                <w:sz w:val="20"/>
                <w:szCs w:val="20"/>
              </w:rPr>
              <w:t xml:space="preserve">2. Identified previously leaked passwords for Acme Corp domain from breached.sh</w:t>
            </w:r>
          </w:p>
          <w:p>
            <w:pPr>
              <w:spacing w:after="40" w:before="40"/>
            </w:pPr>
            <w:r>
              <w:rPr>
                <w:rFonts w:ascii="Arial" w:cs="Arial" w:eastAsia="Arial" w:hAnsi="Arial"/>
                <w:sz w:val="20"/>
                <w:szCs w:val="20"/>
              </w:rPr>
              <w:t xml:space="preserve">3. Performed password spray: sprayhound --users users.txt --passwords pass.txt --url https://mail.acmecorp.com</w:t>
            </w:r>
          </w:p>
          <w:p>
            <w:pPr>
              <w:spacing w:after="40" w:before="40"/>
            </w:pPr>
            <w:r>
              <w:rPr>
                <w:rFonts w:ascii="Arial" w:cs="Arial" w:eastAsia="Arial" w:hAnsi="Arial"/>
                <w:sz w:val="20"/>
                <w:szCs w:val="20"/>
              </w:rPr>
              <w:t xml:space="preserve">4. Result: jdoe@acmecorp.com:Summer2023! — successful authentication</w:t>
            </w:r>
          </w:p>
          <w:p>
            <w:pPr>
              <w:spacing w:after="40" w:before="40"/>
            </w:pPr>
            <w:r>
              <w:rPr>
                <w:rFonts w:ascii="Arial" w:cs="Arial" w:eastAsia="Arial" w:hAnsi="Arial"/>
                <w:sz w:val="20"/>
                <w:szCs w:val="20"/>
              </w:rPr>
              <w:t xml:space="preserve">5. Used credentials to authenticate to VPN and gain internal network access</w:t>
            </w:r>
          </w:p>
        </w:tc>
      </w:tr>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Remediation</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pStyle w:val="ListParagraph"/>
              <w:numPr>
                <w:ilvl w:val="0"/>
                <w:numId w:val="2"/>
              </w:numPr>
              <w:spacing w:after="40" w:before="40"/>
            </w:pPr>
            <w:r>
              <w:rPr>
                <w:rFonts w:ascii="Arial" w:cs="Arial" w:eastAsia="Arial" w:hAnsi="Arial"/>
                <w:sz w:val="20"/>
                <w:szCs w:val="20"/>
              </w:rPr>
              <w:t xml:space="preserve">Enforce Multi-Factor Authentication (MFA) on all external-facing services — OWA, VPN, RDP gateways</w:t>
            </w:r>
          </w:p>
          <w:p>
            <w:pPr>
              <w:pStyle w:val="ListParagraph"/>
              <w:numPr>
                <w:ilvl w:val="0"/>
                <w:numId w:val="2"/>
              </w:numPr>
              <w:spacing w:after="40" w:before="40"/>
            </w:pPr>
            <w:r>
              <w:rPr>
                <w:rFonts w:ascii="Arial" w:cs="Arial" w:eastAsia="Arial" w:hAnsi="Arial"/>
                <w:sz w:val="20"/>
                <w:szCs w:val="20"/>
              </w:rPr>
              <w:t xml:space="preserve">Implement account lockout policy: lock account after 5 failed attempts for 30 minutes</w:t>
            </w:r>
          </w:p>
          <w:p>
            <w:pPr>
              <w:pStyle w:val="ListParagraph"/>
              <w:numPr>
                <w:ilvl w:val="0"/>
                <w:numId w:val="2"/>
              </w:numPr>
              <w:spacing w:after="40" w:before="40"/>
            </w:pPr>
            <w:r>
              <w:rPr>
                <w:rFonts w:ascii="Arial" w:cs="Arial" w:eastAsia="Arial" w:hAnsi="Arial"/>
                <w:sz w:val="20"/>
                <w:szCs w:val="20"/>
              </w:rPr>
              <w:t xml:space="preserve">Deploy Microsoft Entra Password Protection to block commonly used passwords</w:t>
            </w:r>
          </w:p>
          <w:p>
            <w:pPr>
              <w:pStyle w:val="ListParagraph"/>
              <w:numPr>
                <w:ilvl w:val="0"/>
                <w:numId w:val="2"/>
              </w:numPr>
              <w:spacing w:after="40" w:before="40"/>
            </w:pPr>
            <w:r>
              <w:rPr>
                <w:rFonts w:ascii="Arial" w:cs="Arial" w:eastAsia="Arial" w:hAnsi="Arial"/>
                <w:sz w:val="20"/>
                <w:szCs w:val="20"/>
              </w:rPr>
              <w:t xml:space="preserve">Monitor for password spray patterns: multiple failures across many accounts in a short window</w:t>
            </w:r>
          </w:p>
        </w:tc>
      </w:tr>
    </w:tbl>
    <w:p>
      <w:pPr>
        <w:spacing w:after="80" w:before="0"/>
      </w:pPr>
    </w:p>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263238" w:val="clear"/>
            <w:tcMar>
              <w:top w:type="dxa" w:w="120"/>
              <w:left w:type="dxa" w:w="200"/>
              <w:bottom w:type="dxa" w:w="120"/>
              <w:right w:type="dxa" w:w="200"/>
            </w:tcMar>
          </w:tcPr>
          <w:p>
            <w:r>
              <w:rPr>
                <w:rFonts w:ascii="Arial" w:cs="Arial" w:eastAsia="Arial" w:hAnsi="Arial"/>
                <w:b/>
                <w:bCs/>
                <w:color w:val="FFFFFF"/>
                <w:sz w:val="22"/>
                <w:szCs w:val="22"/>
              </w:rPr>
              <w:t xml:space="preserve">[F3] Kerberoasting — Service Account Credential Exposure</w:t>
            </w:r>
          </w:p>
        </w:tc>
        <w:tc>
          <w:tcPr>
            <w:tcW w:type="dxa" w:w="2160"/>
            <w:tcBorders>
              <w:top w:val="single" w:color="CCCCCC" w:sz="1"/>
              <w:left w:val="single" w:color="CCCCCC" w:sz="1"/>
              <w:bottom w:val="single" w:color="CCCCCC" w:sz="1"/>
              <w:right w:val="single" w:color="CCCCCC" w:sz="1"/>
            </w:tcBorders>
            <w:shd w:fill="E26B0A" w:val="clear"/>
            <w:tcMar>
              <w:top w:type="dxa" w:w="120"/>
              <w:left w:type="dxa" w:w="150"/>
              <w:bottom w:type="dxa" w:w="120"/>
              <w:right w:type="dxa" w:w="150"/>
            </w:tcMar>
            <w:vAlign w:val="center"/>
          </w:tcPr>
          <w:p>
            <w:pPr>
              <w:jc w:val="center"/>
            </w:pPr>
            <w:r>
              <w:rPr>
                <w:rFonts w:ascii="Arial" w:cs="Arial" w:eastAsia="Arial" w:hAnsi="Arial"/>
                <w:b/>
                <w:bCs/>
                <w:color w:val="FFFFFF"/>
                <w:sz w:val="22"/>
                <w:szCs w:val="22"/>
              </w:rPr>
              <w:t xml:space="preserve">High</w:t>
            </w:r>
            <w:r>
              <w:rPr>
                <w:rFonts w:ascii="Arial" w:cs="Arial" w:eastAsia="Arial" w:hAnsi="Arial"/>
                <w:color w:val="FFFFFF"/>
                <w:sz w:val="18"/>
                <w:szCs w:val="18"/>
              </w:rPr>
              <w:t xml:space="preserve">  (CVSS: 8.1)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Any authenticated domain user can request Kerberos service tickets (TGS) for accounts with a Service Principal Name (SPN) registered. These tickets are encrypted with the service account's NTLM hash and can be extracted and cracked offline without any interaction with the target service.</w:t>
            </w:r>
          </w:p>
        </w:tc>
      </w:tr>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The service account svc_sql was found to have a weak password. The cracked credentials provided access to the SQL server and, due to excessive privilege configuration, led to privilege escalation. Service accounts with weak passwords and high privileges present a significant risk to Active Directory integrity.</w:t>
            </w:r>
          </w:p>
        </w:tc>
      </w:tr>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Steps to
Reproduce</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before="40"/>
            </w:pPr>
            <w:r>
              <w:rPr>
                <w:rFonts w:ascii="Arial" w:cs="Arial" w:eastAsia="Arial" w:hAnsi="Arial"/>
                <w:sz w:val="20"/>
                <w:szCs w:val="20"/>
              </w:rPr>
              <w:t xml:space="preserve">1. After gaining domain user access, enumerated SPNs: GetUserSPNs.py -request ACMECORP/jdoe:Summer2023! -dc-ip 10.10.10.1</w:t>
            </w:r>
          </w:p>
          <w:p>
            <w:pPr>
              <w:spacing w:after="40" w:before="40"/>
            </w:pPr>
            <w:r>
              <w:rPr>
                <w:rFonts w:ascii="Arial" w:cs="Arial" w:eastAsia="Arial" w:hAnsi="Arial"/>
                <w:sz w:val="20"/>
                <w:szCs w:val="20"/>
              </w:rPr>
              <w:t xml:space="preserve">2. Retrieved TGS ticket for svc_sql account</w:t>
            </w:r>
          </w:p>
          <w:p>
            <w:pPr>
              <w:spacing w:after="40" w:before="40"/>
            </w:pPr>
            <w:r>
              <w:rPr>
                <w:rFonts w:ascii="Arial" w:cs="Arial" w:eastAsia="Arial" w:hAnsi="Arial"/>
                <w:sz w:val="20"/>
                <w:szCs w:val="20"/>
              </w:rPr>
              <w:t xml:space="preserve">3. Cracked offline: hashcat -m 13100 svc_sql.hash rockyou.txt → SQLService123</w:t>
            </w:r>
          </w:p>
          <w:p>
            <w:pPr>
              <w:spacing w:after="40" w:before="40"/>
            </w:pPr>
            <w:r>
              <w:rPr>
                <w:rFonts w:ascii="Arial" w:cs="Arial" w:eastAsia="Arial" w:hAnsi="Arial"/>
                <w:sz w:val="20"/>
                <w:szCs w:val="20"/>
              </w:rPr>
              <w:t xml:space="preserve">4. Authenticated to SQL server as svc_sql — confirmed local administrator membership</w:t>
            </w:r>
          </w:p>
        </w:tc>
      </w:tr>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Remediation</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pStyle w:val="ListParagraph"/>
              <w:numPr>
                <w:ilvl w:val="0"/>
                <w:numId w:val="2"/>
              </w:numPr>
              <w:spacing w:after="40" w:before="40"/>
            </w:pPr>
            <w:r>
              <w:rPr>
                <w:rFonts w:ascii="Arial" w:cs="Arial" w:eastAsia="Arial" w:hAnsi="Arial"/>
                <w:sz w:val="20"/>
                <w:szCs w:val="20"/>
              </w:rPr>
              <w:t xml:space="preserve">Rotate all service account passwords to random strings of 25+ characters immediately</w:t>
            </w:r>
          </w:p>
          <w:p>
            <w:pPr>
              <w:pStyle w:val="ListParagraph"/>
              <w:numPr>
                <w:ilvl w:val="0"/>
                <w:numId w:val="2"/>
              </w:numPr>
              <w:spacing w:after="40" w:before="40"/>
            </w:pPr>
            <w:r>
              <w:rPr>
                <w:rFonts w:ascii="Arial" w:cs="Arial" w:eastAsia="Arial" w:hAnsi="Arial"/>
                <w:sz w:val="20"/>
                <w:szCs w:val="20"/>
              </w:rPr>
              <w:t xml:space="preserve">Implement Group Managed Service Accounts (gMSA) — passwords are automatically managed and rotated by Active Directory</w:t>
            </w:r>
          </w:p>
          <w:p>
            <w:pPr>
              <w:pStyle w:val="ListParagraph"/>
              <w:numPr>
                <w:ilvl w:val="0"/>
                <w:numId w:val="2"/>
              </w:numPr>
              <w:spacing w:after="40" w:before="40"/>
            </w:pPr>
            <w:r>
              <w:rPr>
                <w:rFonts w:ascii="Arial" w:cs="Arial" w:eastAsia="Arial" w:hAnsi="Arial"/>
                <w:sz w:val="20"/>
                <w:szCs w:val="20"/>
              </w:rPr>
              <w:t xml:space="preserve">Apply AES encryption for Kerberos (disable RC4): Set-ADUser svc_sql -KerberosEncryptionType AES128,AES256</w:t>
            </w:r>
          </w:p>
          <w:p>
            <w:pPr>
              <w:pStyle w:val="ListParagraph"/>
              <w:numPr>
                <w:ilvl w:val="0"/>
                <w:numId w:val="2"/>
              </w:numPr>
              <w:spacing w:after="40" w:before="40"/>
            </w:pPr>
            <w:r>
              <w:rPr>
                <w:rFonts w:ascii="Arial" w:cs="Arial" w:eastAsia="Arial" w:hAnsi="Arial"/>
                <w:sz w:val="20"/>
                <w:szCs w:val="20"/>
              </w:rPr>
              <w:t xml:space="preserve">Audit service accounts for excessive privileges — apply principle of least privilege</w:t>
            </w:r>
          </w:p>
        </w:tc>
      </w:tr>
    </w:tbl>
    <w:p>
      <w:pPr>
        <w:spacing w:after="80" w:before="0"/>
      </w:pPr>
    </w:p>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263238" w:val="clear"/>
            <w:tcMar>
              <w:top w:type="dxa" w:w="120"/>
              <w:left w:type="dxa" w:w="200"/>
              <w:bottom w:type="dxa" w:w="120"/>
              <w:right w:type="dxa" w:w="200"/>
            </w:tcMar>
          </w:tcPr>
          <w:p>
            <w:r>
              <w:rPr>
                <w:rFonts w:ascii="Arial" w:cs="Arial" w:eastAsia="Arial" w:hAnsi="Arial"/>
                <w:b/>
                <w:bCs/>
                <w:color w:val="FFFFFF"/>
                <w:sz w:val="22"/>
                <w:szCs w:val="22"/>
              </w:rPr>
              <w:t xml:space="preserve">[F4] Pass-the-Hash — Lateral Movement</w:t>
            </w:r>
          </w:p>
        </w:tc>
        <w:tc>
          <w:tcPr>
            <w:tcW w:type="dxa" w:w="2160"/>
            <w:tcBorders>
              <w:top w:val="single" w:color="CCCCCC" w:sz="1"/>
              <w:left w:val="single" w:color="CCCCCC" w:sz="1"/>
              <w:bottom w:val="single" w:color="CCCCCC" w:sz="1"/>
              <w:right w:val="single" w:color="CCCCCC" w:sz="1"/>
            </w:tcBorders>
            <w:shd w:fill="E26B0A" w:val="clear"/>
            <w:tcMar>
              <w:top w:type="dxa" w:w="120"/>
              <w:left w:type="dxa" w:w="150"/>
              <w:bottom w:type="dxa" w:w="120"/>
              <w:right w:type="dxa" w:w="150"/>
            </w:tcMar>
            <w:vAlign w:val="center"/>
          </w:tcPr>
          <w:p>
            <w:pPr>
              <w:jc w:val="center"/>
            </w:pPr>
            <w:r>
              <w:rPr>
                <w:rFonts w:ascii="Arial" w:cs="Arial" w:eastAsia="Arial" w:hAnsi="Arial"/>
                <w:b/>
                <w:bCs/>
                <w:color w:val="FFFFFF"/>
                <w:sz w:val="22"/>
                <w:szCs w:val="22"/>
              </w:rPr>
              <w:t xml:space="preserve">High</w:t>
            </w:r>
            <w:r>
              <w:rPr>
                <w:rFonts w:ascii="Arial" w:cs="Arial" w:eastAsia="Arial" w:hAnsi="Arial"/>
                <w:color w:val="FFFFFF"/>
                <w:sz w:val="18"/>
                <w:szCs w:val="18"/>
              </w:rPr>
              <w:t xml:space="preserve">  (CVSS: 7.5)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After obtaining the NTLM hash of the local administrator account via credential dumping, the hash was used to authenticate to other systems on the network without needing the plaintext password. This is possible because Windows NTLM authentication accepts the hash directly.</w:t>
            </w:r>
          </w:p>
        </w:tc>
      </w:tr>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Using a single compromised local administrator hash, the tester was able to authenticate to 12 out of 15 internal Windows hosts without any additional credentials. SMB Signing was not enforced, allowing hash-based authentication across the domain.</w:t>
            </w:r>
          </w:p>
        </w:tc>
      </w:tr>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Steps to
Reproduce</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before="40"/>
            </w:pPr>
            <w:r>
              <w:rPr>
                <w:rFonts w:ascii="Arial" w:cs="Arial" w:eastAsia="Arial" w:hAnsi="Arial"/>
                <w:sz w:val="20"/>
                <w:szCs w:val="20"/>
              </w:rPr>
              <w:t xml:space="preserve">1. Dumped SAM database from compromised host: secretsdump.py ACMECORP/jdoe:Summer2023!@10.10.10.20</w:t>
            </w:r>
          </w:p>
          <w:p>
            <w:pPr>
              <w:spacing w:after="40" w:before="40"/>
            </w:pPr>
            <w:r>
              <w:rPr>
                <w:rFonts w:ascii="Arial" w:cs="Arial" w:eastAsia="Arial" w:hAnsi="Arial"/>
                <w:sz w:val="20"/>
                <w:szCs w:val="20"/>
              </w:rPr>
              <w:t xml:space="preserve">2. Retrieved local admin hash: Administrator:500:aad3b435b51404eeaad3b435b51404ee:31d6cfe0...</w:t>
            </w:r>
          </w:p>
          <w:p>
            <w:pPr>
              <w:spacing w:after="40" w:before="40"/>
            </w:pPr>
            <w:r>
              <w:rPr>
                <w:rFonts w:ascii="Arial" w:cs="Arial" w:eastAsia="Arial" w:hAnsi="Arial"/>
                <w:sz w:val="20"/>
                <w:szCs w:val="20"/>
              </w:rPr>
              <w:t xml:space="preserve">3. Used hash for lateral movement: crackmapexec smb 10.10.10.0/24 -u Administrator -H 31d6cfe0... --local-auth</w:t>
            </w:r>
          </w:p>
          <w:p>
            <w:pPr>
              <w:spacing w:after="40" w:before="40"/>
            </w:pPr>
            <w:r>
              <w:rPr>
                <w:rFonts w:ascii="Arial" w:cs="Arial" w:eastAsia="Arial" w:hAnsi="Arial"/>
                <w:sz w:val="20"/>
                <w:szCs w:val="20"/>
              </w:rPr>
              <w:t xml:space="preserve">4. Confirmed access to 12/15 hosts</w:t>
            </w:r>
          </w:p>
        </w:tc>
      </w:tr>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Remediation</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pStyle w:val="ListParagraph"/>
              <w:numPr>
                <w:ilvl w:val="0"/>
                <w:numId w:val="2"/>
              </w:numPr>
              <w:spacing w:after="40" w:before="40"/>
            </w:pPr>
            <w:r>
              <w:rPr>
                <w:rFonts w:ascii="Arial" w:cs="Arial" w:eastAsia="Arial" w:hAnsi="Arial"/>
                <w:sz w:val="20"/>
                <w:szCs w:val="20"/>
              </w:rPr>
              <w:t xml:space="preserve">Deploy LAPS (Local Administrator Password Solution) to ensure unique local admin passwords on every host</w:t>
            </w:r>
          </w:p>
          <w:p>
            <w:pPr>
              <w:pStyle w:val="ListParagraph"/>
              <w:numPr>
                <w:ilvl w:val="0"/>
                <w:numId w:val="2"/>
              </w:numPr>
              <w:spacing w:after="40" w:before="40"/>
            </w:pPr>
            <w:r>
              <w:rPr>
                <w:rFonts w:ascii="Arial" w:cs="Arial" w:eastAsia="Arial" w:hAnsi="Arial"/>
                <w:sz w:val="20"/>
                <w:szCs w:val="20"/>
              </w:rPr>
              <w:t xml:space="preserve">Enable SMB Signing (required, not optional): Set-SmbServerConfiguration -RequireSecuritySignature $true</w:t>
            </w:r>
          </w:p>
          <w:p>
            <w:pPr>
              <w:pStyle w:val="ListParagraph"/>
              <w:numPr>
                <w:ilvl w:val="0"/>
                <w:numId w:val="2"/>
              </w:numPr>
              <w:spacing w:after="40" w:before="40"/>
            </w:pPr>
            <w:r>
              <w:rPr>
                <w:rFonts w:ascii="Arial" w:cs="Arial" w:eastAsia="Arial" w:hAnsi="Arial"/>
                <w:sz w:val="20"/>
                <w:szCs w:val="20"/>
              </w:rPr>
              <w:t xml:space="preserve">Add sensitive accounts to the Protected Users security group</w:t>
            </w:r>
          </w:p>
          <w:p>
            <w:pPr>
              <w:pStyle w:val="ListParagraph"/>
              <w:numPr>
                <w:ilvl w:val="0"/>
                <w:numId w:val="2"/>
              </w:numPr>
              <w:spacing w:after="40" w:before="40"/>
            </w:pPr>
            <w:r>
              <w:rPr>
                <w:rFonts w:ascii="Arial" w:cs="Arial" w:eastAsia="Arial" w:hAnsi="Arial"/>
                <w:sz w:val="20"/>
                <w:szCs w:val="20"/>
              </w:rPr>
              <w:t xml:space="preserve">Disable the local Administrator account on workstations where not required</w:t>
            </w:r>
          </w:p>
        </w:tc>
      </w:tr>
    </w:tbl>
    <w:p>
      <w:pPr>
        <w:spacing w:after="80" w:before="0"/>
      </w:pPr>
    </w:p>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263238" w:val="clear"/>
            <w:tcMar>
              <w:top w:type="dxa" w:w="120"/>
              <w:left w:type="dxa" w:w="200"/>
              <w:bottom w:type="dxa" w:w="120"/>
              <w:right w:type="dxa" w:w="200"/>
            </w:tcMar>
          </w:tcPr>
          <w:p>
            <w:r>
              <w:rPr>
                <w:rFonts w:ascii="Arial" w:cs="Arial" w:eastAsia="Arial" w:hAnsi="Arial"/>
                <w:b/>
                <w:bCs/>
                <w:color w:val="FFFFFF"/>
                <w:sz w:val="22"/>
                <w:szCs w:val="22"/>
              </w:rPr>
              <w:t xml:space="preserve">[F5] Outdated SMB Service (EternalBlue — MS17-010)</w:t>
            </w:r>
          </w:p>
        </w:tc>
        <w:tc>
          <w:tcPr>
            <w:tcW w:type="dxa" w:w="2160"/>
            <w:tcBorders>
              <w:top w:val="single" w:color="CCCCCC" w:sz="1"/>
              <w:left w:val="single" w:color="CCCCCC" w:sz="1"/>
              <w:bottom w:val="single" w:color="CCCCCC" w:sz="1"/>
              <w:right w:val="single" w:color="CCCCCC" w:sz="1"/>
            </w:tcBorders>
            <w:shd w:fill="BF8F00" w:val="clear"/>
            <w:tcMar>
              <w:top w:type="dxa" w:w="120"/>
              <w:left w:type="dxa" w:w="150"/>
              <w:bottom w:type="dxa" w:w="120"/>
              <w:right w:type="dxa" w:w="150"/>
            </w:tcMar>
            <w:vAlign w:val="center"/>
          </w:tcPr>
          <w:p>
            <w:pPr>
              <w:jc w:val="center"/>
            </w:pPr>
            <w:r>
              <w:rPr>
                <w:rFonts w:ascii="Arial" w:cs="Arial" w:eastAsia="Arial" w:hAnsi="Arial"/>
                <w:b/>
                <w:bCs/>
                <w:color w:val="FFFFFF"/>
                <w:sz w:val="22"/>
                <w:szCs w:val="22"/>
              </w:rPr>
              <w:t xml:space="preserve">Medium</w:t>
            </w:r>
            <w:r>
              <w:rPr>
                <w:rFonts w:ascii="Arial" w:cs="Arial" w:eastAsia="Arial" w:hAnsi="Arial"/>
                <w:color w:val="FFFFFF"/>
                <w:sz w:val="18"/>
                <w:szCs w:val="18"/>
              </w:rPr>
              <w:t xml:space="preserve">  (CVSS: 6.5)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One internal host (10.10.10.25, Windows Server 2008 R2) was found to be missing the MS17-010 security patch, making it vulnerable to the EternalBlue exploit. This vulnerability allows remote code execution without authentication.</w:t>
            </w:r>
          </w:p>
        </w:tc>
      </w:tr>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Although this system was not directly exploited during the engagement (out of agreed scope for this vector), its presence on the internal network represents a significant risk if accessed by a threat actor. End-of-life operating systems without patches are a common entry point for ransomware.</w:t>
            </w:r>
          </w:p>
        </w:tc>
      </w:tr>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Steps to
Reproduce</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40" w:before="40"/>
            </w:pPr>
            <w:r>
              <w:rPr>
                <w:rFonts w:ascii="Arial" w:cs="Arial" w:eastAsia="Arial" w:hAnsi="Arial"/>
                <w:sz w:val="20"/>
                <w:szCs w:val="20"/>
              </w:rPr>
              <w:t xml:space="preserve">1. Nmap scan: nmap -p 445 --script smb-vuln-ms17-010 10.10.10.25</w:t>
            </w:r>
          </w:p>
          <w:p>
            <w:pPr>
              <w:spacing w:after="40" w:before="40"/>
            </w:pPr>
            <w:r>
              <w:rPr>
                <w:rFonts w:ascii="Arial" w:cs="Arial" w:eastAsia="Arial" w:hAnsi="Arial"/>
                <w:sz w:val="20"/>
                <w:szCs w:val="20"/>
              </w:rPr>
              <w:t xml:space="preserve">2. Result: VULNERABLE: Remote Code Execution vulnerability in Microsoft SMBv1 servers (ms17-010)</w:t>
            </w:r>
          </w:p>
          <w:p>
            <w:pPr>
              <w:spacing w:after="40" w:before="40"/>
            </w:pPr>
            <w:r>
              <w:rPr>
                <w:rFonts w:ascii="Arial" w:cs="Arial" w:eastAsia="Arial" w:hAnsi="Arial"/>
                <w:sz w:val="20"/>
                <w:szCs w:val="20"/>
              </w:rPr>
              <w:t xml:space="preserve">3. Vulnerability confirmed — exploitation not performed per RoE</w:t>
            </w:r>
          </w:p>
        </w:tc>
      </w:tr>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Remediation</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pStyle w:val="ListParagraph"/>
              <w:numPr>
                <w:ilvl w:val="0"/>
                <w:numId w:val="2"/>
              </w:numPr>
              <w:spacing w:after="40" w:before="40"/>
            </w:pPr>
            <w:r>
              <w:rPr>
                <w:rFonts w:ascii="Arial" w:cs="Arial" w:eastAsia="Arial" w:hAnsi="Arial"/>
                <w:sz w:val="20"/>
                <w:szCs w:val="20"/>
              </w:rPr>
              <w:t xml:space="preserve">Apply the MS17-010 patch (KB4012212) immediately</w:t>
            </w:r>
          </w:p>
          <w:p>
            <w:pPr>
              <w:pStyle w:val="ListParagraph"/>
              <w:numPr>
                <w:ilvl w:val="0"/>
                <w:numId w:val="2"/>
              </w:numPr>
              <w:spacing w:after="40" w:before="40"/>
            </w:pPr>
            <w:r>
              <w:rPr>
                <w:rFonts w:ascii="Arial" w:cs="Arial" w:eastAsia="Arial" w:hAnsi="Arial"/>
                <w:sz w:val="20"/>
                <w:szCs w:val="20"/>
              </w:rPr>
              <w:t xml:space="preserve">Upgrade Windows Server 2008 R2 — it reached end-of-life in January 2020 and receives no further security updates</w:t>
            </w:r>
          </w:p>
          <w:p>
            <w:pPr>
              <w:pStyle w:val="ListParagraph"/>
              <w:numPr>
                <w:ilvl w:val="0"/>
                <w:numId w:val="2"/>
              </w:numPr>
              <w:spacing w:after="40" w:before="40"/>
            </w:pPr>
            <w:r>
              <w:rPr>
                <w:rFonts w:ascii="Arial" w:cs="Arial" w:eastAsia="Arial" w:hAnsi="Arial"/>
                <w:sz w:val="20"/>
                <w:szCs w:val="20"/>
              </w:rPr>
              <w:t xml:space="preserve">Disable SMBv1 across all systems: Set-SmbServerConfiguration -EnableSMB1Protocol $false</w:t>
            </w:r>
          </w:p>
          <w:p>
            <w:pPr>
              <w:pStyle w:val="ListParagraph"/>
              <w:numPr>
                <w:ilvl w:val="0"/>
                <w:numId w:val="2"/>
              </w:numPr>
              <w:spacing w:after="40" w:before="40"/>
            </w:pPr>
            <w:r>
              <w:rPr>
                <w:rFonts w:ascii="Arial" w:cs="Arial" w:eastAsia="Arial" w:hAnsi="Arial"/>
                <w:sz w:val="20"/>
                <w:szCs w:val="20"/>
              </w:rPr>
              <w:t xml:space="preserve">Implement network segmentation to isolate legacy systems</w:t>
            </w:r>
          </w:p>
        </w:tc>
      </w:tr>
    </w:tbl>
    <w:p>
      <w:pPr>
        <w:spacing w:after="80" w:before="0"/>
      </w:pPr>
    </w:p>
    <w:p>
      <w:r>
        <w:br w:type="page"/>
      </w:r>
    </w:p>
    <w:p>
      <w:pPr>
        <w:pStyle w:val="Heading1"/>
        <w:pBdr>
          <w:bottom w:val="single" w:color="2E75B6" w:sz="6" w:space="1"/>
        </w:pBdr>
        <w:spacing w:after="120" w:before="360"/>
      </w:pPr>
      <w:r>
        <w:rPr>
          <w:rFonts w:ascii="Arial" w:cs="Arial" w:eastAsia="Arial" w:hAnsi="Arial"/>
        </w:rPr>
        <w:t xml:space="preserve">7. Attack Chain</w:t>
      </w:r>
    </w:p>
    <w:p>
      <w:pPr>
        <w:spacing w:after="60" w:before="60"/>
      </w:pPr>
      <w:r>
        <w:rPr>
          <w:rFonts w:ascii="Arial" w:cs="Arial" w:eastAsia="Arial" w:hAnsi="Arial"/>
          <w:b w:val="false"/>
          <w:bCs w:val="false"/>
          <w:color w:val="000000"/>
          <w:sz w:val="20"/>
          <w:szCs w:val="20"/>
        </w:rPr>
        <w:t xml:space="preserve">The following narrative describes the complete attack path from unauthenticated external reconnaissance to full domain compromise. Each phase is supported by screenshots taken during the live assessment.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OSINT</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theHarvester and LinkedIn enumeration identified 47 employee email addresses in the format firstname.lastname@acmecorp.com. Cross-referencing with public breach databases revealed that jdoe@acmecorp.com had a previously leaked password.</w:t>
            </w:r>
          </w:p>
        </w:tc>
      </w:tr>
      <w:tr>
        <w:tc>
          <w:tcPr>
            <w:tcW w:type="dxa" w:w="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External Foothold</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Password spray against the OWA portal using 5 leaked passwords. jdoe@acmecorp.com:Summer2023! succeeded on the first attempt. Credentials also worked against the corporate VPN, providing internal network access.</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Internal Enumeration</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After connecting to VPN, nmap scan revealed 15 Windows hosts and a domain controller (10.10.10.1, ACMECORP-DC01). BloodHound enumeration identified attack paths to Domain Admin.</w:t>
            </w:r>
          </w:p>
        </w:tc>
      </w:tr>
      <w:tr>
        <w:tc>
          <w:tcPr>
            <w:tcW w:type="dxa" w:w="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LLMNR Poisoning</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Responder captured the NTLMv2 hash of domain user jsmith during a failed DNS lookup. Hash was cracked offline in under 3 minutes: jsmith:Password1!</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5</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Kerberoasting</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Using jsmith credentials, Kerberoasting yielded the TGS ticket for svc_sql. Hashcat cracked the password (SQLService123) in 8 minutes. svc_sql was a local admin on the SQL server (10.10.10.30).</w:t>
            </w:r>
          </w:p>
        </w:tc>
      </w:tr>
      <w:tr>
        <w:tc>
          <w:tcPr>
            <w:tcW w:type="dxa" w:w="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6</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Lateral Movement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Pass-the-Hash with the local admin hash from the SQL server allowed authentication to 12/15 internal hosts. One host (10.10.10.40) had a cached domain admin credential in memory.</w:t>
            </w:r>
          </w:p>
        </w:tc>
      </w:tr>
      <w:tr>
        <w:tc>
          <w:tcPr>
            <w:tcW w:type="dxa" w:w="500"/>
            <w:tcBorders>
              <w:top w:val="single" w:color="CCCCCC" w:sz="1"/>
              <w:left w:val="single" w:color="CCCCCC" w:sz="1"/>
              <w:bottom w:val="single" w:color="CCCCCC" w:sz="1"/>
              <w:right w:val="single" w:color="CCCCCC" w:sz="1"/>
            </w:tcBorders>
            <w:shd w:fill="FFE0E0"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7</w:t>
            </w:r>
          </w:p>
        </w:tc>
        <w:tc>
          <w:tcPr>
            <w:tcW w:type="dxa" w:w="2500"/>
            <w:tcBorders>
              <w:top w:val="single" w:color="CCCCCC" w:sz="1"/>
              <w:left w:val="single" w:color="CCCCCC" w:sz="1"/>
              <w:bottom w:val="single" w:color="CCCCCC" w:sz="1"/>
              <w:right w:val="single" w:color="CCCCCC" w:sz="1"/>
            </w:tcBorders>
            <w:shd w:fill="FFE0E0" w:val="clear"/>
            <w:tcMar>
              <w:top w:type="dxa" w:w="100"/>
              <w:left w:type="dxa" w:w="150"/>
              <w:bottom w:type="dxa" w:w="100"/>
              <w:right w:type="dxa" w:w="150"/>
            </w:tcMar>
            <w:vAlign w:val="center"/>
          </w:tcPr>
          <w:p>
            <w:pPr>
              <w:jc w:val="left"/>
            </w:pPr>
            <w:r>
              <w:rPr>
                <w:rFonts w:ascii="Arial" w:cs="Arial" w:eastAsia="Arial" w:hAnsi="Arial"/>
                <w:b/>
                <w:bCs/>
                <w:color w:val="C00000"/>
                <w:sz w:val="20"/>
                <w:szCs w:val="20"/>
              </w:rPr>
              <w:t xml:space="preserve">Domain Compromise</w:t>
            </w:r>
          </w:p>
        </w:tc>
        <w:tc>
          <w:tcPr>
            <w:tcW w:type="dxa" w:w="6360"/>
            <w:tcBorders>
              <w:top w:val="single" w:color="CCCCCC" w:sz="1"/>
              <w:left w:val="single" w:color="CCCCCC" w:sz="1"/>
              <w:bottom w:val="single" w:color="CCCCCC" w:sz="1"/>
              <w:right w:val="single" w:color="CCCCCC" w:sz="1"/>
            </w:tcBorders>
            <w:shd w:fill="FFE0E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DCSync attack performed using secretsdump.py, dumping all domain hashes including ACMECORP\Administrator. Full domain compromise achieved.</w:t>
            </w:r>
          </w:p>
        </w:tc>
      </w:tr>
    </w:tbl>
    <w:p>
      <w:pPr>
        <w:spacing w:before="160"/>
      </w:pPr>
    </w:p>
    <w:p>
      <w:pPr>
        <w:pStyle w:val="Heading2"/>
        <w:spacing w:after="100" w:before="240"/>
      </w:pPr>
      <w:r>
        <w:rPr>
          <w:rFonts w:ascii="Arial" w:cs="Arial" w:eastAsia="Arial" w:hAnsi="Arial"/>
        </w:rPr>
        <w:t xml:space="preserve">Command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Phase 2 — Password spray result</w:t>
            </w:r>
          </w:p>
          <w:p>
            <w:pPr>
              <w:spacing w:after="20" w:before="20"/>
            </w:pPr>
            <w:r>
              <w:rPr>
                <w:rFonts w:ascii="Courier New" w:cs="Courier New" w:eastAsia="Courier New" w:hAnsi="Courier New"/>
                <w:color w:val="D4D4D4"/>
                <w:sz w:val="18"/>
                <w:szCs w:val="18"/>
              </w:rPr>
              <w:t xml:space="preserve">$ sprayhound --users emails.txt --passwords leaked.txt --url https://mail.acmecorp.com</w:t>
            </w:r>
          </w:p>
          <w:p>
            <w:pPr>
              <w:spacing w:after="20" w:before="20"/>
            </w:pPr>
            <w:r>
              <w:rPr>
                <w:rFonts w:ascii="Courier New" w:cs="Courier New" w:eastAsia="Courier New" w:hAnsi="Courier New"/>
                <w:color w:val="D4D4D4"/>
                <w:sz w:val="18"/>
                <w:szCs w:val="18"/>
              </w:rPr>
              <w:t xml:space="preserve">[+] SUCCESS: jdoe@acmecorp.com : Summer2023!</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Phase 4 — LLMNR hash capture</w:t>
            </w:r>
          </w:p>
          <w:p>
            <w:pPr>
              <w:spacing w:after="20" w:before="20"/>
            </w:pPr>
            <w:r>
              <w:rPr>
                <w:rFonts w:ascii="Courier New" w:cs="Courier New" w:eastAsia="Courier New" w:hAnsi="Courier New"/>
                <w:color w:val="D4D4D4"/>
                <w:sz w:val="18"/>
                <w:szCs w:val="18"/>
              </w:rPr>
              <w:t xml:space="preserve">$ sudo responder -I eth0 -dwPv</w:t>
            </w:r>
          </w:p>
          <w:p>
            <w:pPr>
              <w:spacing w:after="20" w:before="20"/>
            </w:pPr>
            <w:r>
              <w:rPr>
                <w:rFonts w:ascii="Courier New" w:cs="Courier New" w:eastAsia="Courier New" w:hAnsi="Courier New"/>
                <w:color w:val="D4D4D4"/>
                <w:sz w:val="18"/>
                <w:szCs w:val="18"/>
              </w:rPr>
              <w:t xml:space="preserve">[SMB] NTLMv2-SSP Hash: jsmith::ACMECORP:1122334455667788:AABBCC...</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Phase 7 — DCSync</w:t>
            </w:r>
          </w:p>
          <w:p>
            <w:pPr>
              <w:spacing w:after="20" w:before="20"/>
            </w:pPr>
            <w:r>
              <w:rPr>
                <w:rFonts w:ascii="Courier New" w:cs="Courier New" w:eastAsia="Courier New" w:hAnsi="Courier New"/>
                <w:color w:val="D4D4D4"/>
                <w:sz w:val="18"/>
                <w:szCs w:val="18"/>
              </w:rPr>
              <w:t xml:space="preserve">$ secretsdump.py ACMECORP/administrator@10.10.10.1 -hashes :aad3b435...</w:t>
            </w:r>
          </w:p>
          <w:p>
            <w:pPr>
              <w:spacing w:after="20" w:before="20"/>
            </w:pPr>
            <w:r>
              <w:rPr>
                <w:rFonts w:ascii="Courier New" w:cs="Courier New" w:eastAsia="Courier New" w:hAnsi="Courier New"/>
                <w:color w:val="D4D4D4"/>
                <w:sz w:val="18"/>
                <w:szCs w:val="18"/>
              </w:rPr>
              <w:t xml:space="preserve">[*] Dumping Domain Credentials (domain\uid:rid:lmhash:nthash)</w:t>
            </w:r>
          </w:p>
          <w:p>
            <w:pPr>
              <w:spacing w:after="20" w:before="20"/>
            </w:pPr>
            <w:r>
              <w:rPr>
                <w:rFonts w:ascii="Courier New" w:cs="Courier New" w:eastAsia="Courier New" w:hAnsi="Courier New"/>
                <w:color w:val="D4D4D4"/>
                <w:sz w:val="18"/>
                <w:szCs w:val="18"/>
              </w:rPr>
              <w:t xml:space="preserve">Administrator:500:aad3b435b51404ee:31d6cfe0d16ae931b73c...</w:t>
            </w:r>
          </w:p>
          <w:p>
            <w:pPr>
              <w:spacing w:after="20" w:before="20"/>
            </w:pPr>
            <w:r>
              <w:rPr>
                <w:rFonts w:ascii="Courier New" w:cs="Courier New" w:eastAsia="Courier New" w:hAnsi="Courier New"/>
                <w:color w:val="D4D4D4"/>
                <w:sz w:val="18"/>
                <w:szCs w:val="18"/>
              </w:rPr>
              <w:t xml:space="preserve">krbtgt:502:aad3b435b51404ee:4e9a394cc4b3b5697b9a75...</w:t>
            </w:r>
          </w:p>
        </w:tc>
      </w:tr>
    </w:tbl>
    <w:p>
      <w:r>
        <w:br w:type="page"/>
      </w:r>
    </w:p>
    <w:p>
      <w:pPr>
        <w:pStyle w:val="Heading1"/>
        <w:pBdr>
          <w:bottom w:val="single" w:color="2E75B6" w:sz="6" w:space="1"/>
        </w:pBdr>
        <w:spacing w:after="120" w:before="360"/>
      </w:pPr>
      <w:r>
        <w:rPr>
          <w:rFonts w:ascii="Arial" w:cs="Arial" w:eastAsia="Arial" w:hAnsi="Arial"/>
        </w:rPr>
        <w:t xml:space="preserve">8. Remediation Recommendations</w:t>
      </w:r>
    </w:p>
    <w:p>
      <w:pPr>
        <w:spacing w:after="60" w:before="60"/>
      </w:pPr>
      <w:r>
        <w:rPr>
          <w:rFonts w:ascii="Arial" w:cs="Arial" w:eastAsia="Arial" w:hAnsi="Arial"/>
          <w:b w:val="false"/>
          <w:bCs w:val="false"/>
          <w:color w:val="000000"/>
          <w:sz w:val="20"/>
          <w:szCs w:val="20"/>
        </w:rPr>
        <w:t xml:space="preserve">The following table summarizes all remediation actions in priority order. Items marked Critical should be addressed within 24–48 hours.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500"/>
        <w:gridCol w:w="4460"/>
      </w:tblGrid>
      <w:tr>
        <w:tc>
          <w:tcPr>
            <w:tcW w:type="dxa" w:w="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Action</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44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Reference</w:t>
            </w:r>
          </w:p>
        </w:tc>
      </w:tr>
      <w:tr>
        <w:tc>
          <w:tcPr>
            <w:tcW w:type="dxa" w:w="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Disable LLMNR and NBT-NS via GPO</w:t>
            </w:r>
          </w:p>
        </w:tc>
        <w:tc>
          <w:tcPr>
            <w:tcW w:type="dxa" w:w="1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44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Finding F1</w:t>
            </w:r>
          </w:p>
        </w:tc>
      </w:tr>
      <w:tr>
        <w:tc>
          <w:tcPr>
            <w:tcW w:type="dxa" w:w="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Enforce MFA on OWA and VPN</w:t>
            </w:r>
          </w:p>
        </w:tc>
        <w:tc>
          <w:tcPr>
            <w:tcW w:type="dxa" w:w="1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44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Finding F2</w:t>
            </w:r>
          </w:p>
        </w:tc>
      </w:tr>
      <w:tr>
        <w:tc>
          <w:tcPr>
            <w:tcW w:type="dxa" w:w="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Rotate all service account passwords, implement gMSA</w:t>
            </w:r>
          </w:p>
        </w:tc>
        <w:tc>
          <w:tcPr>
            <w:tcW w:type="dxa" w:w="150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44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Finding F3</w:t>
            </w:r>
          </w:p>
        </w:tc>
      </w:tr>
      <w:tr>
        <w:tc>
          <w:tcPr>
            <w:tcW w:type="dxa" w:w="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Deploy LAPS and enable SMB Signing</w:t>
            </w:r>
          </w:p>
        </w:tc>
        <w:tc>
          <w:tcPr>
            <w:tcW w:type="dxa" w:w="150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44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Finding F4</w:t>
            </w:r>
          </w:p>
        </w:tc>
      </w:tr>
      <w:tr>
        <w:tc>
          <w:tcPr>
            <w:tcW w:type="dxa" w:w="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Patch MS17-010, upgrade Windows Server 2008 R2</w:t>
            </w:r>
          </w:p>
        </w:tc>
        <w:tc>
          <w:tcPr>
            <w:tcW w:type="dxa" w:w="1500"/>
            <w:tcBorders>
              <w:top w:val="single" w:color="CCCCCC" w:sz="1"/>
              <w:left w:val="single" w:color="CCCCCC" w:sz="1"/>
              <w:bottom w:val="single" w:color="CCCCCC" w:sz="1"/>
              <w:right w:val="single" w:color="CCCCCC" w:sz="1"/>
            </w:tcBorders>
            <w:shd w:fill="BF8F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44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Finding F5</w:t>
            </w:r>
          </w:p>
        </w:tc>
      </w:tr>
      <w:tr>
        <w:tc>
          <w:tcPr>
            <w:tcW w:type="dxa" w:w="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Implement account lockout policy (5 failures / 30 min)</w:t>
            </w:r>
          </w:p>
        </w:tc>
        <w:tc>
          <w:tcPr>
            <w:tcW w:type="dxa" w:w="15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44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Finding F2</w:t>
            </w:r>
          </w:p>
        </w:tc>
      </w:tr>
    </w:tbl>
    <w:p>
      <w:pPr>
        <w:spacing w:before="200"/>
      </w:pPr>
    </w:p>
    <w:p>
      <w:pPr>
        <w:pStyle w:val="Heading1"/>
        <w:pBdr>
          <w:bottom w:val="single" w:color="2E75B6" w:sz="6" w:space="1"/>
        </w:pBdr>
        <w:spacing w:after="120" w:before="360"/>
      </w:pPr>
      <w:r>
        <w:rPr>
          <w:rFonts w:ascii="Arial" w:cs="Arial" w:eastAsia="Arial" w:hAnsi="Arial"/>
        </w:rPr>
        <w:t xml:space="preserve">9. Appendix</w:t>
      </w:r>
    </w:p>
    <w:p>
      <w:pPr>
        <w:pStyle w:val="Heading2"/>
        <w:spacing w:after="100" w:before="240"/>
      </w:pPr>
      <w:r>
        <w:rPr>
          <w:rFonts w:ascii="Arial" w:cs="Arial" w:eastAsia="Arial" w:hAnsi="Arial"/>
        </w:rPr>
        <w:t xml:space="preserve">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Tool</w:t>
            </w:r>
          </w:p>
        </w:tc>
        <w:tc>
          <w:tcPr>
            <w:tcW w:type="dxa" w:w="69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theHarvester</w:t>
            </w:r>
          </w:p>
        </w:tc>
        <w:tc>
          <w:tcPr>
            <w:tcW w:type="dxa" w:w="6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OSINT — email and subdomain enumeration</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Responder</w:t>
            </w:r>
          </w:p>
        </w:tc>
        <w:tc>
          <w:tcPr>
            <w:tcW w:type="dxa" w:w="69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LLMNR/NBT-NS poisoning for hash capture</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Hashcat</w:t>
            </w:r>
          </w:p>
        </w:tc>
        <w:tc>
          <w:tcPr>
            <w:tcW w:type="dxa" w:w="6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Offline password cracking (NTLMv2, TGS tickets)</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CrackMapExec</w:t>
            </w:r>
          </w:p>
        </w:tc>
        <w:tc>
          <w:tcPr>
            <w:tcW w:type="dxa" w:w="69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SMB enumeration, credential validation, lateral movement</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BloodHound</w:t>
            </w:r>
          </w:p>
        </w:tc>
        <w:tc>
          <w:tcPr>
            <w:tcW w:type="dxa" w:w="6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Active Directory privilege path visualization</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Impacket Suite</w:t>
            </w:r>
          </w:p>
        </w:tc>
        <w:tc>
          <w:tcPr>
            <w:tcW w:type="dxa" w:w="69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GetUserSPNs.py (Kerberoasting), secretsdump.py (DCSync)</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Nmap</w:t>
            </w:r>
          </w:p>
        </w:tc>
        <w:tc>
          <w:tcPr>
            <w:tcW w:type="dxa" w:w="6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Port scanning, service enumeration, vuln scripts</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Ligolo-ng</w:t>
            </w:r>
          </w:p>
        </w:tc>
        <w:tc>
          <w:tcPr>
            <w:tcW w:type="dxa" w:w="69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Tunneling for internal network pivoting</w:t>
            </w:r>
          </w:p>
        </w:tc>
      </w:tr>
    </w:tbl>
    <w:p>
      <w:pPr>
        <w:spacing w:before="140"/>
      </w:pPr>
    </w:p>
    <w:p>
      <w:pPr>
        <w:pStyle w:val="Heading2"/>
        <w:spacing w:after="100" w:before="240"/>
      </w:pPr>
      <w:r>
        <w:rPr>
          <w:rFonts w:ascii="Arial" w:cs="Arial" w:eastAsia="Arial" w:hAnsi="Arial"/>
        </w:rPr>
        <w:t xml:space="preserve">References</w:t>
      </w:r>
    </w:p>
    <w:p>
      <w:pPr>
        <w:pStyle w:val="ListParagraph"/>
        <w:numPr>
          <w:ilvl w:val="0"/>
          <w:numId w:val="2"/>
        </w:numPr>
        <w:spacing w:after="40" w:before="40"/>
      </w:pPr>
      <w:r>
        <w:rPr>
          <w:rFonts w:ascii="Arial" w:cs="Arial" w:eastAsia="Arial" w:hAnsi="Arial"/>
          <w:sz w:val="20"/>
          <w:szCs w:val="20"/>
        </w:rPr>
        <w:t xml:space="preserve">NIST SP 800-115 — Technical Guide to Information Security Testing: https://csrc.nist.gov/publications/detail/sp/800-115/final</w:t>
      </w:r>
    </w:p>
    <w:p>
      <w:pPr>
        <w:pStyle w:val="ListParagraph"/>
        <w:numPr>
          <w:ilvl w:val="0"/>
          <w:numId w:val="2"/>
        </w:numPr>
        <w:spacing w:after="40" w:before="40"/>
      </w:pPr>
      <w:r>
        <w:rPr>
          <w:rFonts w:ascii="Arial" w:cs="Arial" w:eastAsia="Arial" w:hAnsi="Arial"/>
          <w:sz w:val="20"/>
          <w:szCs w:val="20"/>
        </w:rPr>
        <w:t xml:space="preserve">MITRE ATT&amp;CK Framework: https://attack.mitre.org</w:t>
      </w:r>
    </w:p>
    <w:p>
      <w:pPr>
        <w:pStyle w:val="ListParagraph"/>
        <w:numPr>
          <w:ilvl w:val="0"/>
          <w:numId w:val="2"/>
        </w:numPr>
        <w:spacing w:after="40" w:before="40"/>
      </w:pPr>
      <w:r>
        <w:rPr>
          <w:rFonts w:ascii="Arial" w:cs="Arial" w:eastAsia="Arial" w:hAnsi="Arial"/>
          <w:sz w:val="20"/>
          <w:szCs w:val="20"/>
        </w:rPr>
        <w:t xml:space="preserve">CVSS v3 Calculator: https://www.first.org/cvss/calculator/3.1</w:t>
      </w:r>
    </w:p>
    <w:p>
      <w:pPr>
        <w:pStyle w:val="ListParagraph"/>
        <w:numPr>
          <w:ilvl w:val="0"/>
          <w:numId w:val="2"/>
        </w:numPr>
        <w:spacing w:after="40" w:before="40"/>
      </w:pPr>
      <w:r>
        <w:rPr>
          <w:rFonts w:ascii="Arial" w:cs="Arial" w:eastAsia="Arial" w:hAnsi="Arial"/>
          <w:sz w:val="20"/>
          <w:szCs w:val="20"/>
        </w:rPr>
        <w:t xml:space="preserve">TCM Security Sample Pentest Report: https://github.com/hmaverickadams/TCM-Security-Sample-Pentest-Report</w:t>
      </w:r>
    </w:p>
    <w:p>
      <w:pPr>
        <w:pStyle w:val="ListParagraph"/>
        <w:numPr>
          <w:ilvl w:val="0"/>
          <w:numId w:val="2"/>
        </w:numPr>
        <w:spacing w:after="40" w:before="40"/>
      </w:pPr>
      <w:r>
        <w:rPr>
          <w:rFonts w:ascii="Arial" w:cs="Arial" w:eastAsia="Arial" w:hAnsi="Arial"/>
          <w:sz w:val="20"/>
          <w:szCs w:val="20"/>
        </w:rPr>
        <w:t xml:space="preserve">MS17-010 — Microsoft Security Bulletin: https://docs.microsoft.com/en-us/security-updates/securitybulletins/2017/ms17-010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888888"/>
        <w:sz w:val="16"/>
        <w:szCs w:val="16"/>
      </w:rPr>
      <w:t xml:space="preserve">TCM Security Sample Report  |  Prepared by: J. Tester</w:t>
    </w:r>
    <w:r>
      <w:rPr>
        <w:rFonts w:ascii="Arial" w:cs="Arial" w:eastAsia="Arial" w:hAnsi="Arial"/>
        <w:color w:val="888888"/>
        <w:sz w:val="16"/>
        <w:szCs w:val="16"/>
      </w:rPr>
      <w:t xml:space="preserve">	Page 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Arial" w:cs="Arial" w:eastAsia="Arial" w:hAnsi="Arial"/>
        <w:color w:val="888888"/>
        <w:sz w:val="18"/>
        <w:szCs w:val="18"/>
      </w:rPr>
      <w:t xml:space="preserve">CONFIDENTIAL  |  Internal &amp; External Penetration Test – Acme Corp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2026-03-05T09:34:00.754Z</dcterms:created>
  <dcterms:modified xsi:type="dcterms:W3CDTF">2026-03-05T09:34:00.755Z</dcterms:modified>
</cp:coreProperties>
</file>

<file path=docProps/custom.xml><?xml version="1.0" encoding="utf-8"?>
<Properties xmlns="http://schemas.openxmlformats.org/officeDocument/2006/custom-properties" xmlns:vt="http://schemas.openxmlformats.org/officeDocument/2006/docPropsVTypes"/>
</file>