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C66" w:rsidRPr="00C05D65" w:rsidRDefault="00341C66" w:rsidP="00341C66">
      <w:pPr>
        <w:jc w:val="center"/>
        <w:rPr>
          <w:rFonts w:ascii="Comic Sans MS" w:hAnsi="Comic Sans MS"/>
          <w:b/>
          <w:sz w:val="24"/>
          <w:szCs w:val="24"/>
        </w:rPr>
      </w:pPr>
      <w:bookmarkStart w:id="0" w:name="_GoBack"/>
      <w:bookmarkEnd w:id="0"/>
      <w:r>
        <w:rPr>
          <w:rFonts w:ascii="Comic Sans MS" w:hAnsi="Comic Sans MS"/>
          <w:b/>
          <w:sz w:val="24"/>
          <w:szCs w:val="24"/>
        </w:rPr>
        <w:t xml:space="preserve">LE </w:t>
      </w:r>
      <w:r w:rsidRPr="0021057D">
        <w:rPr>
          <w:rFonts w:ascii="Comic Sans MS" w:hAnsi="Comic Sans MS"/>
          <w:b/>
          <w:sz w:val="24"/>
          <w:szCs w:val="24"/>
        </w:rPr>
        <w:t xml:space="preserve">CADRE </w:t>
      </w:r>
      <w:r>
        <w:rPr>
          <w:rFonts w:ascii="Comic Sans MS" w:hAnsi="Comic Sans MS"/>
          <w:b/>
          <w:sz w:val="24"/>
          <w:szCs w:val="24"/>
        </w:rPr>
        <w:t>LEGAL JURIDIQUE</w:t>
      </w:r>
    </w:p>
    <w:p w:rsidR="00341C66" w:rsidRDefault="00341C66" w:rsidP="00341C66">
      <w:pPr>
        <w:rPr>
          <w:rFonts w:ascii="Comic Sans MS" w:hAnsi="Comic Sans MS"/>
          <w:b/>
          <w:sz w:val="24"/>
          <w:szCs w:val="24"/>
        </w:rPr>
      </w:pPr>
    </w:p>
    <w:p w:rsidR="00341C66"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L</w:t>
      </w:r>
      <w:r w:rsidRPr="0021057D">
        <w:rPr>
          <w:rFonts w:ascii="Comic Sans MS" w:hAnsi="Comic Sans MS" w:cs="Arial"/>
          <w:sz w:val="24"/>
          <w:szCs w:val="24"/>
        </w:rPr>
        <w:t xml:space="preserve">a Constitution du 18 février 2006, telle que </w:t>
      </w:r>
      <w:r>
        <w:rPr>
          <w:rFonts w:ascii="Comic Sans MS" w:hAnsi="Comic Sans MS" w:cs="Arial"/>
          <w:sz w:val="24"/>
          <w:szCs w:val="24"/>
        </w:rPr>
        <w:t xml:space="preserve">modifiée par la loi n°11/002 du 20 janvier 2011 portant révision de certains articles  de la constitution, consacre la   décentralisation comme nouveau mode de gestion des affaires publiques de l’Etat. </w:t>
      </w:r>
    </w:p>
    <w:p w:rsidR="00341C66" w:rsidRDefault="00341C66" w:rsidP="00341C66">
      <w:pPr>
        <w:spacing w:after="0" w:line="300" w:lineRule="auto"/>
        <w:jc w:val="both"/>
        <w:rPr>
          <w:rFonts w:ascii="Comic Sans MS" w:hAnsi="Comic Sans MS" w:cs="Arial"/>
          <w:sz w:val="24"/>
          <w:szCs w:val="24"/>
        </w:rPr>
      </w:pPr>
      <w:r w:rsidRPr="00F0207A">
        <w:rPr>
          <w:rFonts w:ascii="Comic Sans MS" w:hAnsi="Comic Sans MS" w:cs="Arial"/>
          <w:sz w:val="24"/>
          <w:szCs w:val="24"/>
        </w:rPr>
        <w:t xml:space="preserve">Elle confère à la province </w:t>
      </w:r>
      <w:r>
        <w:rPr>
          <w:rFonts w:ascii="Comic Sans MS" w:hAnsi="Comic Sans MS" w:cs="Arial"/>
          <w:sz w:val="24"/>
          <w:szCs w:val="24"/>
        </w:rPr>
        <w:t xml:space="preserve">et aux Entités Territoriales Décentralisées (ETD) la personnalité juridique qui est traduite  par </w:t>
      </w:r>
      <w:r w:rsidRPr="00F0207A">
        <w:rPr>
          <w:rFonts w:ascii="Comic Sans MS" w:hAnsi="Comic Sans MS" w:cs="Arial"/>
          <w:sz w:val="24"/>
          <w:szCs w:val="24"/>
        </w:rPr>
        <w:t>l’autonomie politique et administrative</w:t>
      </w:r>
      <w:r>
        <w:rPr>
          <w:rFonts w:ascii="Comic Sans MS" w:hAnsi="Comic Sans MS" w:cs="Arial"/>
          <w:sz w:val="24"/>
          <w:szCs w:val="24"/>
        </w:rPr>
        <w:t xml:space="preserve"> pour les provinces</w:t>
      </w:r>
      <w:r w:rsidRPr="00F0207A">
        <w:rPr>
          <w:rFonts w:ascii="Comic Sans MS" w:hAnsi="Comic Sans MS" w:cs="Arial"/>
          <w:sz w:val="24"/>
          <w:szCs w:val="24"/>
        </w:rPr>
        <w:t xml:space="preserve">, et </w:t>
      </w:r>
      <w:r>
        <w:rPr>
          <w:rFonts w:ascii="Comic Sans MS" w:hAnsi="Comic Sans MS" w:cs="Arial"/>
          <w:sz w:val="24"/>
          <w:szCs w:val="24"/>
        </w:rPr>
        <w:t xml:space="preserve">l’autonomie administrative pour les ETD. </w:t>
      </w:r>
    </w:p>
    <w:p w:rsidR="00341C66" w:rsidRDefault="00341C66" w:rsidP="00341C66">
      <w:pPr>
        <w:spacing w:after="0" w:line="300" w:lineRule="auto"/>
        <w:jc w:val="both"/>
        <w:rPr>
          <w:rFonts w:ascii="Comic Sans MS" w:hAnsi="Comic Sans MS" w:cs="Arial"/>
          <w:sz w:val="24"/>
          <w:szCs w:val="24"/>
        </w:rPr>
      </w:pPr>
    </w:p>
    <w:p w:rsidR="00341C66"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Ceci est garanti par l’article 2 de la Constitution qui stipule que la République Démocratique du Congo est composée de la ville de Kinshasa et de 25 provinces dotées de la personnalité juridique.</w:t>
      </w:r>
    </w:p>
    <w:p w:rsidR="00341C66" w:rsidRDefault="00341C66" w:rsidP="00341C66">
      <w:pPr>
        <w:spacing w:after="0" w:line="300" w:lineRule="auto"/>
        <w:jc w:val="both"/>
        <w:rPr>
          <w:rFonts w:ascii="Comic Sans MS" w:hAnsi="Comic Sans MS" w:cs="Arial"/>
          <w:sz w:val="24"/>
          <w:szCs w:val="24"/>
        </w:rPr>
      </w:pPr>
    </w:p>
    <w:p w:rsidR="00341C66"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 xml:space="preserve">L’article 3 de la Constitution </w:t>
      </w:r>
      <w:r>
        <w:rPr>
          <w:rFonts w:ascii="Comic Sans MS" w:hAnsi="Comic Sans MS" w:cs="Arial"/>
          <w:sz w:val="24"/>
          <w:szCs w:val="24"/>
        </w:rPr>
        <w:t xml:space="preserve">dispose </w:t>
      </w:r>
      <w:r>
        <w:rPr>
          <w:rFonts w:ascii="Comic Sans MS" w:hAnsi="Comic Sans MS" w:cs="Arial"/>
          <w:sz w:val="24"/>
          <w:szCs w:val="24"/>
        </w:rPr>
        <w:t>que les provinces et les ETD sont dotées de la personnalité juridique et sont gérées par les organes  locaux. Ces ETD sont la ville, la commune, le secteur et la chefferie. Elles jouissent de la libre administration et de l’autonomie de gestion de leurs ressources économiques, humaines, financières et techniques.</w:t>
      </w:r>
    </w:p>
    <w:p w:rsidR="00341C66" w:rsidRDefault="00341C66" w:rsidP="00341C66">
      <w:pPr>
        <w:tabs>
          <w:tab w:val="left" w:pos="0"/>
        </w:tabs>
        <w:spacing w:after="0" w:line="300" w:lineRule="auto"/>
        <w:jc w:val="both"/>
        <w:rPr>
          <w:rFonts w:ascii="Comic Sans MS" w:hAnsi="Comic Sans MS" w:cs="Arial"/>
          <w:b/>
          <w:sz w:val="24"/>
          <w:szCs w:val="24"/>
        </w:rPr>
      </w:pPr>
      <w:r w:rsidRPr="0021057D">
        <w:rPr>
          <w:rFonts w:ascii="Comic Sans MS" w:hAnsi="Comic Sans MS" w:cs="Arial"/>
          <w:b/>
          <w:sz w:val="24"/>
          <w:szCs w:val="24"/>
        </w:rPr>
        <w:t xml:space="preserve">CADRE </w:t>
      </w:r>
      <w:r>
        <w:rPr>
          <w:rFonts w:ascii="Comic Sans MS" w:hAnsi="Comic Sans MS" w:cs="Arial"/>
          <w:b/>
          <w:sz w:val="24"/>
          <w:szCs w:val="24"/>
        </w:rPr>
        <w:t xml:space="preserve">LEGAL </w:t>
      </w:r>
      <w:r w:rsidRPr="0021057D">
        <w:rPr>
          <w:rFonts w:ascii="Comic Sans MS" w:hAnsi="Comic Sans MS" w:cs="Arial"/>
          <w:b/>
          <w:sz w:val="24"/>
          <w:szCs w:val="24"/>
        </w:rPr>
        <w:t>DE LA DECENTRALISATION</w:t>
      </w:r>
    </w:p>
    <w:p w:rsidR="00341C66" w:rsidRPr="0021057D" w:rsidRDefault="00341C66" w:rsidP="00341C66">
      <w:pPr>
        <w:tabs>
          <w:tab w:val="left" w:pos="0"/>
        </w:tabs>
        <w:spacing w:after="0" w:line="300" w:lineRule="auto"/>
        <w:jc w:val="both"/>
        <w:rPr>
          <w:rFonts w:ascii="Comic Sans MS" w:hAnsi="Comic Sans MS" w:cs="Arial"/>
          <w:sz w:val="24"/>
          <w:szCs w:val="24"/>
        </w:rPr>
      </w:pPr>
      <w:r>
        <w:rPr>
          <w:rFonts w:ascii="Comic Sans MS" w:hAnsi="Comic Sans MS" w:cs="Arial"/>
          <w:sz w:val="24"/>
          <w:szCs w:val="24"/>
        </w:rPr>
        <w:t>La décentralisation en RDC est Constitutionnelle. Son processus de mise en œuvre est accompagné par un arsenal juridique dont les lois sur la réforme de l’organisation territoriale et les lois sectorielles suivantes :</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sidRPr="0021057D">
        <w:rPr>
          <w:rFonts w:ascii="Comic Sans MS" w:hAnsi="Comic Sans MS" w:cs="Arial"/>
          <w:sz w:val="24"/>
          <w:szCs w:val="24"/>
        </w:rPr>
        <w:t xml:space="preserve"> « Loi N°08/012 du 31 juillet 2008 portant principes fondamentaux relatifs à la libre administration des provinces</w:t>
      </w:r>
      <w:r>
        <w:rPr>
          <w:rFonts w:ascii="Comic Sans MS" w:hAnsi="Comic Sans MS" w:cs="Arial"/>
          <w:sz w:val="24"/>
          <w:szCs w:val="24"/>
        </w:rPr>
        <w:t xml:space="preserve"> telle que modifiée par la loi n 13 /008 du 22 janvier 2013</w:t>
      </w:r>
      <w:r w:rsidRPr="0021057D">
        <w:rPr>
          <w:rFonts w:ascii="Comic Sans MS" w:hAnsi="Comic Sans MS" w:cs="Arial"/>
          <w:sz w:val="24"/>
          <w:szCs w:val="24"/>
        </w:rPr>
        <w:t> » ;</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sidRPr="0021057D">
        <w:rPr>
          <w:rFonts w:ascii="Comic Sans MS" w:hAnsi="Comic Sans MS" w:cs="Arial"/>
          <w:sz w:val="24"/>
          <w:szCs w:val="24"/>
        </w:rPr>
        <w:t>«  Loi organique N°08/015 du 07 octobre 2008 portant modalités d’organi</w:t>
      </w:r>
      <w:r>
        <w:rPr>
          <w:rFonts w:ascii="Comic Sans MS" w:hAnsi="Comic Sans MS" w:cs="Arial"/>
          <w:sz w:val="24"/>
          <w:szCs w:val="24"/>
        </w:rPr>
        <w:t>sation et fonctionnement de la C</w:t>
      </w:r>
      <w:r w:rsidRPr="0021057D">
        <w:rPr>
          <w:rFonts w:ascii="Comic Sans MS" w:hAnsi="Comic Sans MS" w:cs="Arial"/>
          <w:sz w:val="24"/>
          <w:szCs w:val="24"/>
        </w:rPr>
        <w:t>onférence des Gouverneurs » ;</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Pr>
          <w:rFonts w:ascii="Comic Sans MS" w:hAnsi="Comic Sans MS" w:cs="Arial"/>
          <w:sz w:val="24"/>
          <w:szCs w:val="24"/>
        </w:rPr>
        <w:t>« Loi organique N°08/01</w:t>
      </w:r>
      <w:r w:rsidRPr="0021057D">
        <w:rPr>
          <w:rFonts w:ascii="Comic Sans MS" w:hAnsi="Comic Sans MS" w:cs="Arial"/>
          <w:sz w:val="24"/>
          <w:szCs w:val="24"/>
        </w:rPr>
        <w:t>6 du 07 octobre 2008 portant composition, organisation et fonctionnement des Entités Territoriales Décentralisées et leurs rapports avec l’Etat et les provinces » ;</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sidRPr="0021057D">
        <w:rPr>
          <w:rFonts w:ascii="Comic Sans MS" w:hAnsi="Comic Sans MS" w:cs="Arial"/>
          <w:sz w:val="24"/>
          <w:szCs w:val="24"/>
        </w:rPr>
        <w:t>« Loi organique N°10/011 du 18 mai 2010 portant fixation des subdivision</w:t>
      </w:r>
      <w:r>
        <w:rPr>
          <w:rFonts w:ascii="Comic Sans MS" w:hAnsi="Comic Sans MS" w:cs="Arial"/>
          <w:sz w:val="24"/>
          <w:szCs w:val="24"/>
        </w:rPr>
        <w:t>s</w:t>
      </w:r>
      <w:r w:rsidRPr="0021057D">
        <w:rPr>
          <w:rFonts w:ascii="Comic Sans MS" w:hAnsi="Comic Sans MS" w:cs="Arial"/>
          <w:sz w:val="24"/>
          <w:szCs w:val="24"/>
        </w:rPr>
        <w:t xml:space="preserve"> territoriales à l’intérieur des provinces ».</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sidRPr="0021057D">
        <w:rPr>
          <w:rFonts w:ascii="Comic Sans MS" w:hAnsi="Comic Sans MS" w:cs="Arial"/>
          <w:sz w:val="24"/>
          <w:szCs w:val="24"/>
        </w:rPr>
        <w:lastRenderedPageBreak/>
        <w:t>« Loi organique de programmation N° 15/004 du 28 février 2015 déterminant les modalités d’installation des nouvelles provinces »</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sidRPr="0021057D">
        <w:rPr>
          <w:rFonts w:ascii="Comic Sans MS" w:hAnsi="Comic Sans MS" w:cs="Arial"/>
          <w:sz w:val="24"/>
          <w:szCs w:val="24"/>
        </w:rPr>
        <w:t>« Loi N°15/015 du 25 aout 2015 fixant le statut des chefs coutumiers.</w:t>
      </w:r>
    </w:p>
    <w:p w:rsidR="00341C66" w:rsidRPr="0021057D" w:rsidRDefault="00341C66" w:rsidP="00341C66">
      <w:pPr>
        <w:pStyle w:val="Paragraphedeliste"/>
        <w:numPr>
          <w:ilvl w:val="0"/>
          <w:numId w:val="1"/>
        </w:numPr>
        <w:spacing w:after="0" w:line="300" w:lineRule="auto"/>
        <w:ind w:left="426" w:hanging="426"/>
        <w:jc w:val="both"/>
        <w:rPr>
          <w:rFonts w:ascii="Comic Sans MS" w:hAnsi="Comic Sans MS" w:cs="Arial"/>
          <w:sz w:val="24"/>
          <w:szCs w:val="24"/>
        </w:rPr>
      </w:pPr>
      <w:r>
        <w:rPr>
          <w:rFonts w:ascii="Comic Sans MS" w:hAnsi="Comic Sans MS" w:cs="Arial"/>
          <w:sz w:val="24"/>
          <w:szCs w:val="24"/>
        </w:rPr>
        <w:t>Loi n°15/006</w:t>
      </w:r>
      <w:r w:rsidRPr="0021057D">
        <w:rPr>
          <w:rFonts w:ascii="Comic Sans MS" w:hAnsi="Comic Sans MS" w:cs="Arial"/>
          <w:sz w:val="24"/>
          <w:szCs w:val="24"/>
        </w:rPr>
        <w:t xml:space="preserve"> du 25 mars 2015 portant fixation des limites des provinces et celles de la ville de Kinshasa.</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8</w:t>
      </w:r>
      <w:r w:rsidRPr="0021057D">
        <w:rPr>
          <w:rFonts w:ascii="Comic Sans MS" w:hAnsi="Comic Sans MS" w:cs="Arial"/>
          <w:sz w:val="24"/>
          <w:szCs w:val="24"/>
        </w:rPr>
        <w:t>.  « Loi-cadre n°14/004 du 11 février 2014 sur l’Enseignement Primaire, Secondaire et Professionnel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9</w:t>
      </w:r>
      <w:r w:rsidRPr="0021057D">
        <w:rPr>
          <w:rFonts w:ascii="Comic Sans MS" w:hAnsi="Comic Sans MS" w:cs="Arial"/>
          <w:sz w:val="24"/>
          <w:szCs w:val="24"/>
        </w:rPr>
        <w:t>.  « Loi N°11/022 du 24 décembre 2011 portant principes fondamentaux relatifs à l’agriculture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10</w:t>
      </w:r>
      <w:r w:rsidRPr="0021057D">
        <w:rPr>
          <w:rFonts w:ascii="Comic Sans MS" w:hAnsi="Comic Sans MS" w:cs="Arial"/>
          <w:sz w:val="24"/>
          <w:szCs w:val="24"/>
        </w:rPr>
        <w:t>. « Loi 16/013 du 15juillet 2016 portant statut agents de carrière des services publics de l’Etat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11.</w:t>
      </w:r>
      <w:r w:rsidRPr="0021057D">
        <w:rPr>
          <w:rFonts w:ascii="Comic Sans MS" w:hAnsi="Comic Sans MS" w:cs="Arial"/>
          <w:sz w:val="24"/>
          <w:szCs w:val="24"/>
        </w:rPr>
        <w:t xml:space="preserve"> La loi  foncière</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12</w:t>
      </w:r>
      <w:r w:rsidRPr="0021057D">
        <w:rPr>
          <w:rFonts w:ascii="Comic Sans MS" w:hAnsi="Comic Sans MS" w:cs="Arial"/>
          <w:sz w:val="24"/>
          <w:szCs w:val="24"/>
        </w:rPr>
        <w:t>. La loi n°14/011 du 17 juin 2014 relative au secteur de l’électricité</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13.</w:t>
      </w:r>
      <w:r w:rsidRPr="0021057D">
        <w:rPr>
          <w:rFonts w:ascii="Comic Sans MS" w:hAnsi="Comic Sans MS" w:cs="Arial"/>
          <w:sz w:val="24"/>
          <w:szCs w:val="24"/>
        </w:rPr>
        <w:t xml:space="preserve"> Loi n°011/2002 du 29 aout 2002 portant code forestier en RDC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 xml:space="preserve">14. </w:t>
      </w:r>
      <w:r w:rsidRPr="0021057D">
        <w:rPr>
          <w:rFonts w:ascii="Comic Sans MS" w:hAnsi="Comic Sans MS" w:cs="Arial"/>
          <w:sz w:val="24"/>
          <w:szCs w:val="24"/>
        </w:rPr>
        <w:t>Loi organique n°16/001 du 03 mai 2010 fixant l’organisation et le fonctionnement des services publics du pouvoir central, des provinces et des entités territoriales décentralisées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15.</w:t>
      </w:r>
      <w:r w:rsidRPr="0021057D">
        <w:rPr>
          <w:rFonts w:ascii="Comic Sans MS" w:hAnsi="Comic Sans MS" w:cs="Arial"/>
          <w:sz w:val="24"/>
          <w:szCs w:val="24"/>
        </w:rPr>
        <w:t> Loi n°10/010 du 27 avril 2010 relative aux marché</w:t>
      </w:r>
      <w:r>
        <w:rPr>
          <w:rFonts w:ascii="Comic Sans MS" w:hAnsi="Comic Sans MS" w:cs="Arial"/>
          <w:sz w:val="24"/>
          <w:szCs w:val="24"/>
        </w:rPr>
        <w:t>s</w:t>
      </w:r>
      <w:r w:rsidRPr="0021057D">
        <w:rPr>
          <w:rFonts w:ascii="Comic Sans MS" w:hAnsi="Comic Sans MS" w:cs="Arial"/>
          <w:sz w:val="24"/>
          <w:szCs w:val="24"/>
        </w:rPr>
        <w:t xml:space="preserve"> publics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16.</w:t>
      </w:r>
      <w:r w:rsidRPr="0021057D">
        <w:rPr>
          <w:rFonts w:ascii="Comic Sans MS" w:hAnsi="Comic Sans MS" w:cs="Arial"/>
          <w:sz w:val="24"/>
          <w:szCs w:val="24"/>
        </w:rPr>
        <w:t>. Loi n°11/011 du 13 juillet 2011 relative aux finances publiques ;</w:t>
      </w:r>
    </w:p>
    <w:p w:rsidR="00341C66" w:rsidRPr="004343DB" w:rsidRDefault="00341C66" w:rsidP="00341C66">
      <w:pPr>
        <w:spacing w:after="0" w:line="300" w:lineRule="auto"/>
        <w:jc w:val="both"/>
        <w:rPr>
          <w:rFonts w:ascii="Comic Sans MS" w:hAnsi="Comic Sans MS" w:cs="Arial"/>
          <w:color w:val="000000" w:themeColor="text1"/>
          <w:sz w:val="24"/>
          <w:szCs w:val="24"/>
        </w:rPr>
      </w:pPr>
      <w:r w:rsidRPr="004343DB">
        <w:rPr>
          <w:rFonts w:ascii="Comic Sans MS" w:hAnsi="Comic Sans MS" w:cs="Arial"/>
          <w:color w:val="000000" w:themeColor="text1"/>
          <w:sz w:val="24"/>
          <w:szCs w:val="24"/>
        </w:rPr>
        <w:t xml:space="preserve">17. L’ordonnance-loi n° </w:t>
      </w:r>
      <w:r>
        <w:rPr>
          <w:rFonts w:ascii="Comic Sans MS" w:hAnsi="Comic Sans MS" w:cs="Arial"/>
          <w:color w:val="000000" w:themeColor="text1"/>
          <w:sz w:val="24"/>
          <w:szCs w:val="24"/>
        </w:rPr>
        <w:t>18</w:t>
      </w:r>
      <w:r w:rsidRPr="004343DB">
        <w:rPr>
          <w:rFonts w:ascii="Comic Sans MS" w:hAnsi="Comic Sans MS" w:cs="Arial"/>
          <w:color w:val="000000" w:themeColor="text1"/>
          <w:sz w:val="24"/>
          <w:szCs w:val="24"/>
        </w:rPr>
        <w:t>/</w:t>
      </w:r>
      <w:r>
        <w:rPr>
          <w:rFonts w:ascii="Comic Sans MS" w:hAnsi="Comic Sans MS" w:cs="Arial"/>
          <w:color w:val="000000" w:themeColor="text1"/>
          <w:sz w:val="24"/>
          <w:szCs w:val="24"/>
        </w:rPr>
        <w:t>003</w:t>
      </w:r>
      <w:r w:rsidRPr="004343DB">
        <w:rPr>
          <w:rFonts w:ascii="Comic Sans MS" w:hAnsi="Comic Sans MS" w:cs="Arial"/>
          <w:color w:val="000000" w:themeColor="text1"/>
          <w:sz w:val="24"/>
          <w:szCs w:val="24"/>
        </w:rPr>
        <w:t xml:space="preserve"> du </w:t>
      </w:r>
      <w:r>
        <w:rPr>
          <w:rFonts w:ascii="Comic Sans MS" w:hAnsi="Comic Sans MS" w:cs="Arial"/>
          <w:color w:val="000000" w:themeColor="text1"/>
          <w:sz w:val="24"/>
          <w:szCs w:val="24"/>
        </w:rPr>
        <w:t>13 mars</w:t>
      </w:r>
      <w:r w:rsidRPr="004343DB">
        <w:rPr>
          <w:rFonts w:ascii="Comic Sans MS" w:hAnsi="Comic Sans MS" w:cs="Arial"/>
          <w:color w:val="000000" w:themeColor="text1"/>
          <w:sz w:val="24"/>
          <w:szCs w:val="24"/>
        </w:rPr>
        <w:t xml:space="preserve"> 201</w:t>
      </w:r>
      <w:r>
        <w:rPr>
          <w:rFonts w:ascii="Comic Sans MS" w:hAnsi="Comic Sans MS" w:cs="Arial"/>
          <w:color w:val="000000" w:themeColor="text1"/>
          <w:sz w:val="24"/>
          <w:szCs w:val="24"/>
        </w:rPr>
        <w:t>8</w:t>
      </w:r>
      <w:r w:rsidRPr="004343DB">
        <w:rPr>
          <w:rFonts w:ascii="Comic Sans MS" w:hAnsi="Comic Sans MS" w:cs="Arial"/>
          <w:color w:val="000000" w:themeColor="text1"/>
          <w:sz w:val="24"/>
          <w:szCs w:val="24"/>
        </w:rPr>
        <w:t xml:space="preserve"> fixant la nomenclature des droits, taxes et redevances du pouvoir central ; </w:t>
      </w:r>
    </w:p>
    <w:p w:rsidR="00341C66" w:rsidRPr="004343DB" w:rsidRDefault="00341C66" w:rsidP="00341C66">
      <w:pPr>
        <w:spacing w:after="0" w:line="300" w:lineRule="auto"/>
        <w:jc w:val="both"/>
        <w:rPr>
          <w:rFonts w:ascii="Comic Sans MS" w:hAnsi="Comic Sans MS" w:cs="Arial"/>
          <w:color w:val="000000" w:themeColor="text1"/>
          <w:sz w:val="24"/>
          <w:szCs w:val="24"/>
        </w:rPr>
      </w:pPr>
      <w:r w:rsidRPr="004343DB">
        <w:rPr>
          <w:rFonts w:ascii="Comic Sans MS" w:hAnsi="Comic Sans MS" w:cs="Arial"/>
          <w:color w:val="000000" w:themeColor="text1"/>
          <w:sz w:val="24"/>
          <w:szCs w:val="24"/>
        </w:rPr>
        <w:t>18. L’Ordonnance-Loi n° 18/004 du 13 mars 2018 fixant la nomenclature des impôts, droits, taxes et redevances de la Provinces et de l’entité territoriale décentralisée ainsi que les modalités de leur répartition ;</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19</w:t>
      </w:r>
      <w:r w:rsidRPr="0021057D">
        <w:rPr>
          <w:rFonts w:ascii="Comic Sans MS" w:hAnsi="Comic Sans MS" w:cs="Arial"/>
          <w:sz w:val="24"/>
          <w:szCs w:val="24"/>
        </w:rPr>
        <w:t>. L’Ordonnance-Loi n° 101/2012 du 21 septembre 2012 portant réforme des procédures relatives à l’assiette, au contrôle et aux modalités de recouvrement des recettes.</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20</w:t>
      </w:r>
      <w:r w:rsidRPr="0021057D">
        <w:rPr>
          <w:rFonts w:ascii="Comic Sans MS" w:hAnsi="Comic Sans MS" w:cs="Arial"/>
          <w:sz w:val="24"/>
          <w:szCs w:val="24"/>
        </w:rPr>
        <w:t>. La</w:t>
      </w:r>
      <w:r w:rsidRPr="0021057D">
        <w:rPr>
          <w:rFonts w:ascii="Comic Sans MS" w:hAnsi="Comic Sans MS" w:cs="Arial"/>
          <w:sz w:val="24"/>
          <w:szCs w:val="24"/>
        </w:rPr>
        <w:tab/>
        <w:t xml:space="preserve">  loi organique N°16/028 du 08 novembre 2016 portant organisation et fonctionnement de la caisse nationale de péréquation.</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21</w:t>
      </w:r>
      <w:r w:rsidRPr="0021057D">
        <w:rPr>
          <w:rFonts w:ascii="Comic Sans MS" w:hAnsi="Comic Sans MS" w:cs="Arial"/>
          <w:sz w:val="24"/>
          <w:szCs w:val="24"/>
        </w:rPr>
        <w:t>. Loi n°15/026 du31 décembre 2015 relative à l’eau.</w:t>
      </w:r>
    </w:p>
    <w:p w:rsidR="00341C66" w:rsidRPr="0021057D"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22</w:t>
      </w:r>
      <w:r w:rsidRPr="0021057D">
        <w:rPr>
          <w:rFonts w:ascii="Comic Sans MS" w:hAnsi="Comic Sans MS" w:cs="Arial"/>
          <w:sz w:val="24"/>
          <w:szCs w:val="24"/>
        </w:rPr>
        <w:t>. Loi n° 18/035 du 13 décembre 2018 fixant les principes fondamentaux relatifs à l’organisation de la santé publique.</w:t>
      </w:r>
    </w:p>
    <w:p w:rsidR="00341C66"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lastRenderedPageBreak/>
        <w:t>23</w:t>
      </w:r>
      <w:r w:rsidRPr="0021057D">
        <w:rPr>
          <w:rFonts w:ascii="Comic Sans MS" w:hAnsi="Comic Sans MS" w:cs="Arial"/>
          <w:sz w:val="24"/>
          <w:szCs w:val="24"/>
        </w:rPr>
        <w:t>. L</w:t>
      </w:r>
      <w:r>
        <w:rPr>
          <w:rFonts w:ascii="Comic Sans MS" w:hAnsi="Comic Sans MS" w:cs="Arial"/>
          <w:sz w:val="24"/>
          <w:szCs w:val="24"/>
        </w:rPr>
        <w:t>a loi n°18/001 du 09 mars 2018</w:t>
      </w:r>
      <w:r w:rsidR="002C11B4">
        <w:rPr>
          <w:rFonts w:ascii="Comic Sans MS" w:hAnsi="Comic Sans MS" w:cs="Arial"/>
          <w:sz w:val="24"/>
          <w:szCs w:val="24"/>
        </w:rPr>
        <w:t xml:space="preserve"> modifiant et complétant la loi n°007/2002 du 11 juillet 2002 portant code minier.</w:t>
      </w:r>
      <w:r>
        <w:rPr>
          <w:rFonts w:ascii="Comic Sans MS" w:hAnsi="Comic Sans MS" w:cs="Arial"/>
          <w:sz w:val="24"/>
          <w:szCs w:val="24"/>
        </w:rPr>
        <w:t xml:space="preserve"> </w:t>
      </w:r>
    </w:p>
    <w:p w:rsidR="00341C66" w:rsidRDefault="00341C66" w:rsidP="00341C66">
      <w:pPr>
        <w:spacing w:after="0" w:line="300" w:lineRule="auto"/>
        <w:jc w:val="both"/>
        <w:rPr>
          <w:rFonts w:ascii="Comic Sans MS" w:hAnsi="Comic Sans MS" w:cs="Arial"/>
          <w:sz w:val="24"/>
          <w:szCs w:val="24"/>
        </w:rPr>
      </w:pPr>
      <w:r>
        <w:rPr>
          <w:rFonts w:ascii="Comic Sans MS" w:hAnsi="Comic Sans MS" w:cs="Arial"/>
          <w:sz w:val="24"/>
          <w:szCs w:val="24"/>
        </w:rPr>
        <w:t>24. Le décret n°18/024 du 08 juin 2018 portant règlement minier.</w:t>
      </w:r>
    </w:p>
    <w:p w:rsidR="007A2123" w:rsidRDefault="002C11B4" w:rsidP="002C11B4">
      <w:pPr>
        <w:spacing w:after="0" w:line="300" w:lineRule="auto"/>
        <w:jc w:val="both"/>
      </w:pPr>
      <w:r>
        <w:rPr>
          <w:rFonts w:ascii="Comic Sans MS" w:hAnsi="Comic Sans MS" w:cs="Arial"/>
          <w:sz w:val="24"/>
          <w:szCs w:val="24"/>
        </w:rPr>
        <w:t>25. La loi n°17/013 du 24 décembre 2017 modifiant et complétant la loi n°06/006 du 09 mars 2006 portant organisation des élections présidentielles, législatives, provinciales, urbaines, municipales et locales, telle que modifiées à ce jour.</w:t>
      </w:r>
    </w:p>
    <w:sectPr w:rsidR="007A2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C66" w:rsidRDefault="00341C66" w:rsidP="00341C66">
      <w:pPr>
        <w:spacing w:after="0" w:line="240" w:lineRule="auto"/>
      </w:pPr>
      <w:r>
        <w:separator/>
      </w:r>
    </w:p>
  </w:endnote>
  <w:endnote w:type="continuationSeparator" w:id="0">
    <w:p w:rsidR="00341C66" w:rsidRDefault="00341C66" w:rsidP="0034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C66" w:rsidRDefault="00341C66" w:rsidP="00341C66">
      <w:pPr>
        <w:spacing w:after="0" w:line="240" w:lineRule="auto"/>
      </w:pPr>
      <w:r>
        <w:separator/>
      </w:r>
    </w:p>
  </w:footnote>
  <w:footnote w:type="continuationSeparator" w:id="0">
    <w:p w:rsidR="00341C66" w:rsidRDefault="00341C66" w:rsidP="00341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25B9"/>
    <w:multiLevelType w:val="hybridMultilevel"/>
    <w:tmpl w:val="077A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84940"/>
    <w:multiLevelType w:val="hybridMultilevel"/>
    <w:tmpl w:val="E162263C"/>
    <w:lvl w:ilvl="0" w:tplc="0EAC528A">
      <w:start w:val="1"/>
      <w:numFmt w:val="decimal"/>
      <w:lvlText w:val="%1."/>
      <w:lvlJc w:val="left"/>
      <w:pPr>
        <w:ind w:left="36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66"/>
    <w:rsid w:val="002C11B4"/>
    <w:rsid w:val="00341C66"/>
    <w:rsid w:val="007A2123"/>
    <w:rsid w:val="00C128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6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41C66"/>
    <w:pPr>
      <w:spacing w:after="200" w:line="276" w:lineRule="auto"/>
    </w:pPr>
    <w:rPr>
      <w:rFonts w:ascii="Calibri" w:eastAsia="Times New Roman" w:hAnsi="Calibri" w:cs="Times New Roman"/>
      <w:sz w:val="20"/>
      <w:szCs w:val="20"/>
      <w:lang w:eastAsia="fr-FR"/>
    </w:rPr>
  </w:style>
  <w:style w:type="character" w:customStyle="1" w:styleId="NotedebasdepageCar">
    <w:name w:val="Note de bas de page Car"/>
    <w:basedOn w:val="Policepardfaut"/>
    <w:link w:val="Notedebasdepage"/>
    <w:uiPriority w:val="99"/>
    <w:semiHidden/>
    <w:rsid w:val="00341C66"/>
    <w:rPr>
      <w:rFonts w:ascii="Calibri" w:eastAsia="Times New Roman" w:hAnsi="Calibri" w:cs="Times New Roman"/>
      <w:sz w:val="20"/>
      <w:szCs w:val="20"/>
      <w:lang w:eastAsia="fr-FR"/>
    </w:rPr>
  </w:style>
  <w:style w:type="character" w:styleId="Appelnotedebasdep">
    <w:name w:val="footnote reference"/>
    <w:uiPriority w:val="99"/>
    <w:semiHidden/>
    <w:unhideWhenUsed/>
    <w:rsid w:val="00341C66"/>
    <w:rPr>
      <w:vertAlign w:val="superscript"/>
    </w:rPr>
  </w:style>
  <w:style w:type="paragraph" w:styleId="Paragraphedeliste">
    <w:name w:val="List Paragraph"/>
    <w:basedOn w:val="Normal"/>
    <w:uiPriority w:val="34"/>
    <w:qFormat/>
    <w:rsid w:val="00341C66"/>
    <w:pPr>
      <w:spacing w:after="200" w:line="276" w:lineRule="auto"/>
      <w:ind w:left="720"/>
      <w:contextualSpacing/>
    </w:pPr>
    <w:rPr>
      <w:rFonts w:ascii="Calibri" w:eastAsia="Times New Roman" w:hAnsi="Calibri"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6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41C66"/>
    <w:pPr>
      <w:spacing w:after="200" w:line="276" w:lineRule="auto"/>
    </w:pPr>
    <w:rPr>
      <w:rFonts w:ascii="Calibri" w:eastAsia="Times New Roman" w:hAnsi="Calibri" w:cs="Times New Roman"/>
      <w:sz w:val="20"/>
      <w:szCs w:val="20"/>
      <w:lang w:eastAsia="fr-FR"/>
    </w:rPr>
  </w:style>
  <w:style w:type="character" w:customStyle="1" w:styleId="NotedebasdepageCar">
    <w:name w:val="Note de bas de page Car"/>
    <w:basedOn w:val="Policepardfaut"/>
    <w:link w:val="Notedebasdepage"/>
    <w:uiPriority w:val="99"/>
    <w:semiHidden/>
    <w:rsid w:val="00341C66"/>
    <w:rPr>
      <w:rFonts w:ascii="Calibri" w:eastAsia="Times New Roman" w:hAnsi="Calibri" w:cs="Times New Roman"/>
      <w:sz w:val="20"/>
      <w:szCs w:val="20"/>
      <w:lang w:eastAsia="fr-FR"/>
    </w:rPr>
  </w:style>
  <w:style w:type="character" w:styleId="Appelnotedebasdep">
    <w:name w:val="footnote reference"/>
    <w:uiPriority w:val="99"/>
    <w:semiHidden/>
    <w:unhideWhenUsed/>
    <w:rsid w:val="00341C66"/>
    <w:rPr>
      <w:vertAlign w:val="superscript"/>
    </w:rPr>
  </w:style>
  <w:style w:type="paragraph" w:styleId="Paragraphedeliste">
    <w:name w:val="List Paragraph"/>
    <w:basedOn w:val="Normal"/>
    <w:uiPriority w:val="34"/>
    <w:qFormat/>
    <w:rsid w:val="00341C66"/>
    <w:pPr>
      <w:spacing w:after="200" w:line="276" w:lineRule="auto"/>
      <w:ind w:left="720"/>
      <w:contextualSpacing/>
    </w:pPr>
    <w:rPr>
      <w:rFonts w:ascii="Calibri" w:eastAsia="Times New Roman" w:hAnsi="Calibri"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3601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dc:creator>
  <cp:lastModifiedBy>tecno</cp:lastModifiedBy>
  <cp:revision>2</cp:revision>
  <dcterms:created xsi:type="dcterms:W3CDTF">2021-03-10T10:45:00Z</dcterms:created>
  <dcterms:modified xsi:type="dcterms:W3CDTF">2021-03-10T10:45:00Z</dcterms:modified>
</cp:coreProperties>
</file>