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임상 데이터를 활용한 중환자 예후 예측을 위한</w:t>
        <w:br/>
        <w:t>온디바이스 AI 모델 개발</w:t>
      </w:r>
    </w:p>
    <w:p>
      <w:pPr>
        <w:spacing w:after="120"/>
        <w:jc w:val="center"/>
      </w:pPr>
      <w:r>
        <w:rPr>
          <w:b w:val="0"/>
          <w:i/>
          <w:sz w:val="21"/>
        </w:rPr>
        <w:t>Development of On-Device AI Models for ICU Patient</w:t>
        <w:br/>
        <w:t>Outcome Prediction Using Clinical Data</w:t>
      </w:r>
    </w:p>
    <w:p>
      <w:pPr>
        <w:spacing w:after="40"/>
        <w:jc w:val="center"/>
      </w:pPr>
      <w:r>
        <w:rPr>
          <w:b w:val="0"/>
          <w:i w:val="0"/>
          <w:sz w:val="19"/>
        </w:rPr>
        <w:t>이종환</w:t>
      </w:r>
      <w:r>
        <w:rPr>
          <w:b w:val="0"/>
          <w:i w:val="0"/>
          <w:sz w:val="14"/>
          <w:vertAlign w:val="superscript"/>
        </w:rPr>
        <w:t>1</w:t>
      </w:r>
      <w:r>
        <w:rPr>
          <w:b w:val="0"/>
          <w:i w:val="0"/>
          <w:sz w:val="19"/>
        </w:rPr>
        <w:t>, 조재민</w:t>
      </w:r>
      <w:r>
        <w:rPr>
          <w:b w:val="0"/>
          <w:i w:val="0"/>
          <w:sz w:val="14"/>
          <w:vertAlign w:val="superscript"/>
        </w:rPr>
        <w:t>1</w:t>
      </w:r>
      <w:r>
        <w:rPr>
          <w:b w:val="0"/>
          <w:i w:val="0"/>
          <w:sz w:val="19"/>
        </w:rPr>
        <w:t>, 안서현</w:t>
      </w:r>
      <w:r>
        <w:rPr>
          <w:b w:val="0"/>
          <w:i w:val="0"/>
          <w:sz w:val="14"/>
          <w:vertAlign w:val="superscript"/>
        </w:rPr>
        <w:t>1</w:t>
      </w:r>
      <w:r>
        <w:rPr>
          <w:b w:val="0"/>
          <w:i w:val="0"/>
          <w:sz w:val="19"/>
        </w:rPr>
        <w:t>, 전지영</w:t>
      </w:r>
      <w:r>
        <w:rPr>
          <w:b w:val="0"/>
          <w:i w:val="0"/>
          <w:sz w:val="14"/>
          <w:vertAlign w:val="superscript"/>
        </w:rPr>
        <w:t>1</w:t>
      </w:r>
      <w:r>
        <w:rPr>
          <w:b w:val="0"/>
          <w:i w:val="0"/>
          <w:sz w:val="19"/>
        </w:rPr>
        <w:t>, 이태섭</w:t>
      </w:r>
      <w:r>
        <w:rPr>
          <w:b w:val="0"/>
          <w:i w:val="0"/>
          <w:sz w:val="14"/>
          <w:vertAlign w:val="superscript"/>
        </w:rPr>
        <w:t>1</w:t>
      </w:r>
      <w:r>
        <w:rPr>
          <w:b w:val="0"/>
          <w:i w:val="0"/>
          <w:sz w:val="19"/>
        </w:rPr>
        <w:t>, 신현성</w:t>
      </w:r>
      <w:r>
        <w:rPr>
          <w:b w:val="0"/>
          <w:i w:val="0"/>
          <w:sz w:val="14"/>
          <w:vertAlign w:val="superscript"/>
        </w:rPr>
        <w:t>2</w:t>
      </w:r>
      <w:r>
        <w:rPr>
          <w:b w:val="0"/>
          <w:i w:val="0"/>
          <w:sz w:val="19"/>
        </w:rPr>
        <w:t>, 에르덴바야르</w:t>
      </w:r>
      <w:r>
        <w:rPr>
          <w:b w:val="0"/>
          <w:i w:val="0"/>
          <w:sz w:val="14"/>
          <w:vertAlign w:val="superscript"/>
        </w:rPr>
        <w:t>2</w:t>
      </w:r>
    </w:p>
    <w:p>
      <w:pPr>
        <w:spacing w:after="20"/>
        <w:jc w:val="center"/>
      </w:pPr>
      <w:r>
        <w:rPr>
          <w:b w:val="0"/>
          <w:i w:val="0"/>
          <w:sz w:val="16"/>
          <w:vertAlign w:val="superscript"/>
        </w:rPr>
        <w:t>1</w:t>
      </w:r>
      <w:r>
        <w:rPr>
          <w:b w:val="0"/>
          <w:i w:val="0"/>
          <w:sz w:val="17"/>
        </w:rPr>
        <w:t xml:space="preserve">연세대학교 AI반도체학부, </w:t>
      </w:r>
      <w:r>
        <w:rPr>
          <w:b w:val="0"/>
          <w:i w:val="0"/>
          <w:sz w:val="16"/>
          <w:vertAlign w:val="superscript"/>
        </w:rPr>
        <w:t>2</w:t>
      </w:r>
      <w:r>
        <w:rPr>
          <w:b w:val="0"/>
          <w:i w:val="0"/>
          <w:sz w:val="17"/>
        </w:rPr>
        <w:t>연세대학교 데이터사이언스학부</w:t>
      </w:r>
    </w:p>
    <w:p>
      <w:pPr>
        <w:spacing w:after="160"/>
        <w:jc w:val="center"/>
      </w:pPr>
      <w:r>
        <w:rPr>
          <w:b w:val="0"/>
          <w:i/>
          <w:sz w:val="17"/>
        </w:rPr>
        <w:t>jkey@yonsei.ac.kr</w:t>
      </w:r>
    </w:p>
    <w:p>
      <w:pPr>
        <w:spacing w:after="40"/>
        <w:pBdr>
          <w:bottom w:val="single" w:sz="4" w:space="1" w:color="000000"/>
        </w:pBdr>
      </w:pPr>
    </w:p>
    <w:p>
      <w:pPr>
        <w:spacing w:after="80"/>
        <w:jc w:val="center"/>
      </w:pPr>
      <w:r>
        <w:rPr>
          <w:b/>
          <w:i w:val="0"/>
          <w:sz w:val="21"/>
        </w:rPr>
        <w:t>Abstract</w:t>
      </w:r>
    </w:p>
    <w:p>
      <w:pPr>
        <w:spacing w:after="80"/>
        <w:ind w:left="283" w:right="283"/>
        <w:jc w:val="both"/>
      </w:pPr>
      <w:r>
        <w:rPr>
          <w:b w:val="0"/>
          <w:i/>
          <w:sz w:val="18"/>
        </w:rPr>
        <w:t>Predicting clinical outcomes in intensive care units (ICUs) is critical for timely intervention and resource allocation. In this study, we developed an ensemble machine learning framework using the MIMIC-III clinical database comprising 50,676 adult ICU admissions. We engineered 662 features from six data sources: vital signs, laboratory results, SOFA severity scores, vasopressor usage, medication records, and clinical note NLP embeddings within the first 48 hours of ICU admission. For in-hospital mortality prediction, our weighted ensemble of XGBoost and LightGBM achieved an AUROC of 0.9880 and AUPRC of 0.9301, with 5-fold cross-validation AUROC of 0.9847. Additionally, we addressed ICD-9 diagnostic group classification (AUC 0.889) and length-of-stay prediction (MAE 3.384 days, R²=0.606). The results demonstrate that comprehensive feature engineering combined with gradient boosting ensembles can achieve near-perfect discrimination for ICU mortality prediction without requiring deep learning or GPU computation.</w:t>
      </w:r>
    </w:p>
    <w:p>
      <w:pPr>
        <w:spacing w:after="80"/>
        <w:pBdr>
          <w:top w:val="single" w:sz="4" w:space="1" w:color="000000"/>
        </w:pBdr>
      </w:pPr>
    </w:p>
    <w:p>
      <w:pPr>
        <w:sectPr>
          <w:pgSz w:w="11906" w:h="16838"/>
          <w:pgMar w:top="850" w:right="1020" w:bottom="850" w:left="1020" w:header="720" w:footer="720" w:gutter="0"/>
          <w:cols w:space="720"/>
          <w:docGrid w:linePitch="360"/>
        </w:sectPr>
      </w:pPr>
    </w:p>
    <w:p>
      <w:pPr>
        <w:spacing w:before="240" w:after="80"/>
      </w:pPr>
      <w:r>
        <w:rPr>
          <w:b/>
          <w:sz w:val="22"/>
        </w:rPr>
        <w:t>1. 연구 배경</w:t>
      </w:r>
    </w:p>
    <w:p>
      <w:pPr>
        <w:spacing w:after="60"/>
        <w:ind w:firstLine="397"/>
        <w:jc w:val="both"/>
      </w:pPr>
      <w:r>
        <w:rPr>
          <w:rFonts w:ascii="Times New Roman" w:hAnsi="Times New Roman" w:eastAsia="바탕"/>
          <w:sz w:val="19"/>
        </w:rPr>
        <w:t>중환자실(ICU)에서의 환자 예후 예측은 의료 자원의 효율적 배분과 적시 치료 개입을 위한 핵심 과제이다. 특히 원내 사망 예측, 진단 분류, 입원기간 예측은 임상 의사결정 지원 시스템의 근간이 되는 3대 예측 과제로, 다수의 연구에서 기계학습 기반 접근법이 시도되어 왔다[1-3].</w:t>
      </w:r>
    </w:p>
    <w:p>
      <w:pPr>
        <w:spacing w:after="60"/>
        <w:ind w:firstLine="397"/>
        <w:jc w:val="both"/>
      </w:pPr>
      <w:r>
        <w:rPr>
          <w:rFonts w:ascii="Times New Roman" w:hAnsi="Times New Roman" w:eastAsia="바탕"/>
          <w:sz w:val="19"/>
        </w:rPr>
        <w:t>MIMIC-III(Medical Information Mart for Intensive Care III)는 MIT에서 구축한 대규모 공개 임상 데이터베이스로, 2001-2012년 Beth Israel Deaconess Medical Center의 ICU 환자 46,520명에 대한 전자건강기록(EHR)을 포함한다[4]. 본 데이터셋은 활력징후, 검사결과, 처방기록, 임상노트 등 다차원적 임상 정보를 제공하여 예후 예측 연구에 널리 활용되고 있다.</w:t>
      </w:r>
    </w:p>
    <w:p>
      <w:pPr>
        <w:spacing w:after="60"/>
        <w:ind w:firstLine="397"/>
        <w:jc w:val="both"/>
      </w:pPr>
      <w:r>
        <w:rPr>
          <w:rFonts w:ascii="Times New Roman" w:hAnsi="Times New Roman" w:eastAsia="바탕"/>
          <w:sz w:val="19"/>
        </w:rPr>
        <w:t>기존 연구에서는 단일 데이터 소스(활력징후 또는 검사결과)만을 활용하거나[5], 딥러닝 모델에 의존하여 해석 가능성이 떨어지는 한계가 있었다[6]. 또한 대부분의 고성능 모델이 GPU 기반의 대규모 연산 환경을 요구하여 온디바이스(on-device) 적용에 제약이 있었다.</w:t>
      </w:r>
    </w:p>
    <w:p>
      <w:pPr>
        <w:spacing w:after="60"/>
        <w:ind w:firstLine="397"/>
        <w:jc w:val="both"/>
      </w:pPr>
      <w:r>
        <w:rPr>
          <w:rFonts w:ascii="Times New Roman" w:hAnsi="Times New Roman" w:eastAsia="바탕"/>
          <w:sz w:val="19"/>
        </w:rPr>
        <w:t>본 연구에서는 MIMIC-III의 6개 데이터 소스를 통합한 662개의 임상 피처를 설계하고, XGBoost와 LightGBM 기반의 가중 앙상블 모델을 개발하여 세 가지 예측 과제에서 기존 연구 대비 우수한 성능을 달성하였다. 특히 GPU 없이 일반 CPU 환경에서 18분 이내에 전체 파이프라인을 실행할 수 있어 온디바이스 AI 적용 가능성을 입증하였다.</w:t>
      </w:r>
    </w:p>
    <w:p>
      <w:pPr>
        <w:spacing w:before="240" w:after="80"/>
      </w:pPr>
      <w:r>
        <w:rPr>
          <w:b/>
          <w:sz w:val="22"/>
        </w:rPr>
        <w:t>2. 연구 방법</w:t>
      </w:r>
    </w:p>
    <w:p>
      <w:pPr>
        <w:spacing w:before="240" w:after="80"/>
      </w:pPr>
      <w:r>
        <w:rPr>
          <w:b/>
          <w:sz w:val="20"/>
        </w:rPr>
        <w:t>2.1 데이터 및 대상</w:t>
      </w:r>
    </w:p>
    <w:p>
      <w:pPr>
        <w:spacing w:after="60"/>
        <w:ind w:firstLine="397"/>
        <w:jc w:val="both"/>
      </w:pPr>
      <w:r>
        <w:rPr>
          <w:rFonts w:ascii="Times New Roman" w:hAnsi="Times New Roman" w:eastAsia="바탕"/>
          <w:sz w:val="19"/>
        </w:rPr>
        <w:t>MIMIC-III v1.4 데이터베이스에서 18세 이상 성인 환자의 ICU 입원 기록 50,676건을 추출하였다. 대상의 평균 연령은 63.2세(SD=17.8), 남성 비율 56.2%, 원내 사망률 11.3%였다. 데이터는 8:2 비율로 학습셋(40,540건)과 시험셋(10,136건)으로 계층적 분할(stratified split)하였다.</w:t>
      </w:r>
    </w:p>
    <w:p>
      <w:pPr>
        <w:spacing w:before="240" w:after="80"/>
      </w:pPr>
      <w:r>
        <w:rPr>
          <w:b/>
          <w:sz w:val="20"/>
        </w:rPr>
        <w:t>2.2 피처 엔지니어링</w:t>
      </w:r>
    </w:p>
    <w:p>
      <w:pPr>
        <w:spacing w:after="60"/>
        <w:ind w:firstLine="397"/>
        <w:jc w:val="both"/>
      </w:pPr>
      <w:r>
        <w:rPr>
          <w:rFonts w:ascii="Times New Roman" w:hAnsi="Times New Roman" w:eastAsia="바탕"/>
          <w:sz w:val="19"/>
        </w:rPr>
        <w:t>ICU 입실 후 48시간 이내의 임상 데이터로부터 662개의 피처를 추출하였으며, 6개 범주로 구분된다(Table 1).</w:t>
      </w:r>
    </w:p>
    <w:p>
      <w:pPr>
        <w:spacing w:before="120" w:after="60"/>
        <w:jc w:val="center"/>
      </w:pPr>
      <w:r>
        <w:rPr>
          <w:b/>
          <w:sz w:val="18"/>
        </w:rPr>
        <w:t>Table 1. 피처 구성 요약</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2F3"/>
          </w:tcPr>
          <w:p>
            <w:pPr>
              <w:jc w:val="center"/>
            </w:pPr>
            <w:r/>
            <w:r>
              <w:rPr>
                <w:b/>
                <w:sz w:val="17"/>
              </w:rPr>
              <w:t>범주</w:t>
            </w:r>
          </w:p>
        </w:tc>
        <w:tc>
          <w:tcPr>
            <w:tcW w:type="dxa" w:w="3289"/>
            <w:shd w:fill="D9E2F3"/>
          </w:tcPr>
          <w:p>
            <w:pPr>
              <w:jc w:val="center"/>
            </w:pPr>
            <w:r/>
            <w:r>
              <w:rPr>
                <w:b/>
                <w:sz w:val="17"/>
              </w:rPr>
              <w:t>소스 테이블</w:t>
            </w:r>
          </w:p>
        </w:tc>
        <w:tc>
          <w:tcPr>
            <w:tcW w:type="dxa" w:w="3289"/>
            <w:shd w:fill="D9E2F3"/>
          </w:tcPr>
          <w:p>
            <w:pPr>
              <w:jc w:val="center"/>
            </w:pPr>
            <w:r/>
            <w:r>
              <w:rPr>
                <w:b/>
                <w:sz w:val="17"/>
              </w:rPr>
              <w:t>피처 수</w:t>
            </w:r>
          </w:p>
        </w:tc>
      </w:tr>
      <w:tr>
        <w:tc>
          <w:tcPr>
            <w:tcW w:type="dxa" w:w="3289"/>
          </w:tcPr>
          <w:p>
            <w:pPr>
              <w:jc w:val="center"/>
            </w:pPr>
            <w:r/>
            <w:r>
              <w:rPr>
                <w:sz w:val="17"/>
              </w:rPr>
              <w:t>기본 인구통계/입원정보</w:t>
            </w:r>
          </w:p>
        </w:tc>
        <w:tc>
          <w:tcPr>
            <w:tcW w:type="dxa" w:w="3289"/>
          </w:tcPr>
          <w:p>
            <w:pPr>
              <w:jc w:val="center"/>
            </w:pPr>
            <w:r/>
            <w:r>
              <w:rPr>
                <w:sz w:val="17"/>
              </w:rPr>
              <w:t>ADMISSIONS, PATIENTS</w:t>
            </w:r>
          </w:p>
        </w:tc>
        <w:tc>
          <w:tcPr>
            <w:tcW w:type="dxa" w:w="3289"/>
          </w:tcPr>
          <w:p>
            <w:pPr>
              <w:jc w:val="center"/>
            </w:pPr>
            <w:r/>
            <w:r>
              <w:rPr>
                <w:sz w:val="17"/>
              </w:rPr>
              <w:t>18</w:t>
            </w:r>
          </w:p>
        </w:tc>
      </w:tr>
      <w:tr>
        <w:tc>
          <w:tcPr>
            <w:tcW w:type="dxa" w:w="3289"/>
          </w:tcPr>
          <w:p>
            <w:pPr>
              <w:jc w:val="center"/>
            </w:pPr>
            <w:r/>
            <w:r>
              <w:rPr>
                <w:sz w:val="17"/>
              </w:rPr>
              <w:t>진단 그룹 (ICD-9)</w:t>
            </w:r>
          </w:p>
        </w:tc>
        <w:tc>
          <w:tcPr>
            <w:tcW w:type="dxa" w:w="3289"/>
          </w:tcPr>
          <w:p>
            <w:pPr>
              <w:jc w:val="center"/>
            </w:pPr>
            <w:r/>
            <w:r>
              <w:rPr>
                <w:sz w:val="17"/>
              </w:rPr>
              <w:t>DIAGNOSES_ICD</w:t>
            </w:r>
          </w:p>
        </w:tc>
        <w:tc>
          <w:tcPr>
            <w:tcW w:type="dxa" w:w="3289"/>
          </w:tcPr>
          <w:p>
            <w:pPr>
              <w:jc w:val="center"/>
            </w:pPr>
            <w:r/>
            <w:r>
              <w:rPr>
                <w:sz w:val="17"/>
              </w:rPr>
              <w:t>19</w:t>
            </w:r>
          </w:p>
        </w:tc>
      </w:tr>
      <w:tr>
        <w:tc>
          <w:tcPr>
            <w:tcW w:type="dxa" w:w="3289"/>
          </w:tcPr>
          <w:p>
            <w:pPr>
              <w:jc w:val="center"/>
            </w:pPr>
            <w:r/>
            <w:r>
              <w:rPr>
                <w:sz w:val="17"/>
              </w:rPr>
              <w:t>검사결과 (Lab)</w:t>
            </w:r>
          </w:p>
        </w:tc>
        <w:tc>
          <w:tcPr>
            <w:tcW w:type="dxa" w:w="3289"/>
          </w:tcPr>
          <w:p>
            <w:pPr>
              <w:jc w:val="center"/>
            </w:pPr>
            <w:r/>
            <w:r>
              <w:rPr>
                <w:sz w:val="17"/>
              </w:rPr>
              <w:t>LABEVENTS</w:t>
            </w:r>
          </w:p>
        </w:tc>
        <w:tc>
          <w:tcPr>
            <w:tcW w:type="dxa" w:w="3289"/>
          </w:tcPr>
          <w:p>
            <w:pPr>
              <w:jc w:val="center"/>
            </w:pPr>
            <w:r/>
            <w:r>
              <w:rPr>
                <w:sz w:val="17"/>
              </w:rPr>
              <w:t>363</w:t>
            </w:r>
          </w:p>
        </w:tc>
      </w:tr>
      <w:tr>
        <w:tc>
          <w:tcPr>
            <w:tcW w:type="dxa" w:w="3289"/>
          </w:tcPr>
          <w:p>
            <w:pPr>
              <w:jc w:val="center"/>
            </w:pPr>
            <w:r/>
            <w:r>
              <w:rPr>
                <w:sz w:val="17"/>
              </w:rPr>
              <w:t>활력징후 (Vitals)</w:t>
            </w:r>
          </w:p>
        </w:tc>
        <w:tc>
          <w:tcPr>
            <w:tcW w:type="dxa" w:w="3289"/>
          </w:tcPr>
          <w:p>
            <w:pPr>
              <w:jc w:val="center"/>
            </w:pPr>
            <w:r/>
            <w:r>
              <w:rPr>
                <w:sz w:val="17"/>
              </w:rPr>
              <w:t>CHARTEVENTS</w:t>
            </w:r>
          </w:p>
        </w:tc>
        <w:tc>
          <w:tcPr>
            <w:tcW w:type="dxa" w:w="3289"/>
          </w:tcPr>
          <w:p>
            <w:pPr>
              <w:jc w:val="center"/>
            </w:pPr>
            <w:r/>
            <w:r>
              <w:rPr>
                <w:sz w:val="17"/>
              </w:rPr>
              <w:t>168</w:t>
            </w:r>
          </w:p>
        </w:tc>
      </w:tr>
      <w:tr>
        <w:tc>
          <w:tcPr>
            <w:tcW w:type="dxa" w:w="3289"/>
          </w:tcPr>
          <w:p>
            <w:pPr>
              <w:jc w:val="center"/>
            </w:pPr>
            <w:r/>
            <w:r>
              <w:rPr>
                <w:sz w:val="17"/>
              </w:rPr>
              <w:t>투약/승압제</w:t>
            </w:r>
          </w:p>
        </w:tc>
        <w:tc>
          <w:tcPr>
            <w:tcW w:type="dxa" w:w="3289"/>
          </w:tcPr>
          <w:p>
            <w:pPr>
              <w:jc w:val="center"/>
            </w:pPr>
            <w:r/>
            <w:r>
              <w:rPr>
                <w:sz w:val="17"/>
              </w:rPr>
              <w:t>INPUTEVENTS, PRESCRIPTIONS</w:t>
            </w:r>
          </w:p>
        </w:tc>
        <w:tc>
          <w:tcPr>
            <w:tcW w:type="dxa" w:w="3289"/>
          </w:tcPr>
          <w:p>
            <w:pPr>
              <w:jc w:val="center"/>
            </w:pPr>
            <w:r/>
            <w:r>
              <w:rPr>
                <w:sz w:val="17"/>
              </w:rPr>
              <w:t>29</w:t>
            </w:r>
          </w:p>
        </w:tc>
      </w:tr>
      <w:tr>
        <w:tc>
          <w:tcPr>
            <w:tcW w:type="dxa" w:w="3289"/>
          </w:tcPr>
          <w:p>
            <w:pPr>
              <w:jc w:val="center"/>
            </w:pPr>
            <w:r/>
            <w:r>
              <w:rPr>
                <w:sz w:val="17"/>
              </w:rPr>
              <w:t>임상노트 NLP</w:t>
            </w:r>
          </w:p>
        </w:tc>
        <w:tc>
          <w:tcPr>
            <w:tcW w:type="dxa" w:w="3289"/>
          </w:tcPr>
          <w:p>
            <w:pPr>
              <w:jc w:val="center"/>
            </w:pPr>
            <w:r/>
            <w:r>
              <w:rPr>
                <w:sz w:val="17"/>
              </w:rPr>
              <w:t>NOTEEVENTS</w:t>
            </w:r>
          </w:p>
        </w:tc>
        <w:tc>
          <w:tcPr>
            <w:tcW w:type="dxa" w:w="3289"/>
          </w:tcPr>
          <w:p>
            <w:pPr>
              <w:jc w:val="center"/>
            </w:pPr>
            <w:r/>
            <w:r>
              <w:rPr>
                <w:sz w:val="17"/>
              </w:rPr>
              <w:t>65</w:t>
            </w:r>
          </w:p>
        </w:tc>
      </w:tr>
      <w:tr>
        <w:tc>
          <w:tcPr>
            <w:tcW w:type="dxa" w:w="3289"/>
          </w:tcPr>
          <w:p>
            <w:pPr>
              <w:jc w:val="center"/>
            </w:pPr>
            <w:r/>
            <w:r>
              <w:rPr>
                <w:b/>
                <w:sz w:val="17"/>
              </w:rPr>
              <w:t>합계</w:t>
            </w:r>
          </w:p>
        </w:tc>
        <w:tc>
          <w:tcPr>
            <w:tcW w:type="dxa" w:w="3289"/>
          </w:tcPr>
          <w:p>
            <w:pPr>
              <w:jc w:val="center"/>
            </w:pPr>
            <w:r/>
            <w:r>
              <w:rPr>
                <w:b/>
                <w:sz w:val="17"/>
              </w:rPr>
            </w:r>
          </w:p>
        </w:tc>
        <w:tc>
          <w:tcPr>
            <w:tcW w:type="dxa" w:w="3289"/>
          </w:tcPr>
          <w:p>
            <w:pPr>
              <w:jc w:val="center"/>
            </w:pPr>
            <w:r/>
            <w:r>
              <w:rPr>
                <w:b/>
                <w:sz w:val="17"/>
              </w:rPr>
              <w:t>662</w:t>
            </w:r>
          </w:p>
        </w:tc>
      </w:tr>
    </w:tbl>
    <w:p>
      <w:pPr>
        <w:spacing w:after="40"/>
      </w:pPr>
    </w:p>
    <w:p>
      <w:pPr>
        <w:spacing w:after="60"/>
        <w:ind w:firstLine="397"/>
        <w:jc w:val="both"/>
      </w:pPr>
      <w:r>
        <w:rPr>
          <w:rFonts w:ascii="Times New Roman" w:hAnsi="Times New Roman" w:eastAsia="바탕"/>
          <w:sz w:val="19"/>
        </w:rPr>
        <w:t>(1) 시간창 기반 집계: 검사결과와 활력징후는 0-6h, 6-12h, 12-24h, 24-48h의 4개 시간창으로 분할하여 각 창별 평균값을 산출하고, 전체 48시간에 대한 평균, 최솟값, 최댓값, 표준편차, 최종값, 변화량(trend=last-first)을 계산하였다.</w:t>
      </w:r>
    </w:p>
    <w:p>
      <w:pPr>
        <w:spacing w:after="60"/>
        <w:ind w:firstLine="397"/>
        <w:jc w:val="both"/>
      </w:pPr>
      <w:r>
        <w:rPr>
          <w:rFonts w:ascii="Times New Roman" w:hAnsi="Times New Roman" w:eastAsia="바탕"/>
          <w:sz w:val="19"/>
        </w:rPr>
        <w:t>(2) SOFA 점수: Sequential Organ Failure Assessment 점수를 PaO₂/FiO₂ 비율(호흡기), 혈소판(응고), 빌리루빈(간), 평균동맥압 및 승압제 사용(심혈관), GCS(중추신경), 크레아티닌(신장) 6개 항목으로 계산하여 총점, 최대 구성 점수, 장기부전 수를 산출하였다.</w:t>
      </w:r>
    </w:p>
    <w:p>
      <w:pPr>
        <w:spacing w:after="60"/>
        <w:ind w:firstLine="397"/>
        <w:jc w:val="both"/>
      </w:pPr>
      <w:r>
        <w:rPr>
          <w:rFonts w:ascii="Times New Roman" w:hAnsi="Times New Roman" w:eastAsia="바탕"/>
          <w:sz w:val="19"/>
        </w:rPr>
        <w:t>(3) 승압제 피처: INPUTEVENTS에서 norepinephrine, epinephrine, dopamine, dobutamine, vasopressin, phenylephrine 등 7종의 승압제 사용 여부, 투여 횟수, 총 투여량, 사용 약물 종류 수를 추출하였다.</w:t>
      </w:r>
    </w:p>
    <w:p>
      <w:pPr>
        <w:spacing w:after="60"/>
        <w:ind w:firstLine="397"/>
        <w:jc w:val="both"/>
      </w:pPr>
      <w:r>
        <w:rPr>
          <w:rFonts w:ascii="Times New Roman" w:hAnsi="Times New Roman" w:eastAsia="바탕"/>
          <w:sz w:val="19"/>
        </w:rPr>
        <w:t>(4) 임상노트 NLP: NOTEEVENTS의 텍스트를 TF-IDF(max_features=5,000, bigram) 벡터화 후 Truncated SVD로 50차원으로 축소하였다. 추가로 DNR, intubation, sepsis, cardiac arrest, palliative 등 15개 임상 키워드의 출현 빈도를 산출하였다.</w:t>
      </w:r>
    </w:p>
    <w:p>
      <w:pPr>
        <w:spacing w:before="240" w:after="80"/>
      </w:pPr>
      <w:r>
        <w:rPr>
          <w:b/>
          <w:sz w:val="20"/>
        </w:rPr>
        <w:t>2.3 모델 구성</w:t>
      </w:r>
    </w:p>
    <w:p>
      <w:pPr>
        <w:spacing w:after="60"/>
        <w:ind w:firstLine="397"/>
        <w:jc w:val="both"/>
      </w:pPr>
      <w:r>
        <w:rPr>
          <w:rFonts w:ascii="Times New Roman" w:hAnsi="Times New Roman" w:eastAsia="바탕"/>
          <w:sz w:val="19"/>
        </w:rPr>
        <w:t>기본 모델로 XGBoost[7]와 LightGBM[8]을 구축하였다. 두 모델 모두 n_estimators=2,000, learning_rate=0.02, max_depth=8, subsample=0.75, colsample_bytree=0.5, scale_pos_weight=7.88(클래스 불균형 보정)로 설정하였다.</w:t>
      </w:r>
    </w:p>
    <w:p>
      <w:pPr>
        <w:spacing w:after="60"/>
        <w:ind w:firstLine="397"/>
        <w:jc w:val="both"/>
      </w:pPr>
      <w:r>
        <w:rPr>
          <w:rFonts w:ascii="Times New Roman" w:hAnsi="Times New Roman" w:eastAsia="바탕"/>
          <w:sz w:val="19"/>
        </w:rPr>
        <w:t>최종 예측은 5-fold 계층적 교차검증(Stratified K-Fold) 기반의 스태킹 앙상블과 가중 평균 앙상블을 비교하여 최적 조합을 선택하였다. 가중 앙상블의 가중치 w는 0.1~0.9 범위에서 0.05 단위로 탐색하여 최적값(w=0.45)을 결정하였다.</w:t>
      </w:r>
    </w:p>
    <w:p>
      <w:pPr>
        <w:spacing w:before="240" w:after="80"/>
      </w:pPr>
      <w:r>
        <w:rPr>
          <w:b/>
          <w:sz w:val="20"/>
        </w:rPr>
        <w:t>2.4 예측 과제 정의</w:t>
      </w:r>
    </w:p>
    <w:p>
      <w:pPr>
        <w:spacing w:after="60"/>
        <w:jc w:val="both"/>
      </w:pPr>
      <w:r>
        <w:rPr>
          <w:rFonts w:ascii="Times New Roman" w:hAnsi="Times New Roman" w:eastAsia="바탕"/>
          <w:sz w:val="19"/>
        </w:rPr>
        <w:t>Task 1 (원내 사망 예측): HOSPITAL_EXPIRE_FLAG를 타겟으로 한 이진 분류. 평가지표: AUROC, AUPRC, F1-score.</w:t>
      </w:r>
    </w:p>
    <w:p>
      <w:pPr>
        <w:spacing w:after="60"/>
        <w:jc w:val="both"/>
      </w:pPr>
      <w:r>
        <w:rPr>
          <w:rFonts w:ascii="Times New Roman" w:hAnsi="Times New Roman" w:eastAsia="바탕"/>
          <w:sz w:val="19"/>
        </w:rPr>
        <w:t>Task 2 (ICD-9 진단 그룹 예측): 주 진단(SEQ_NUM=1)의 ICD-9 코드를 17개 그룹으로 분류하는 다중 클래스 분류. 진단 관련 피처를 제외하고 예측.</w:t>
      </w:r>
    </w:p>
    <w:p>
      <w:pPr>
        <w:spacing w:after="60"/>
        <w:jc w:val="both"/>
      </w:pPr>
      <w:r>
        <w:rPr>
          <w:rFonts w:ascii="Times New Roman" w:hAnsi="Times New Roman" w:eastAsia="바탕"/>
          <w:sz w:val="19"/>
        </w:rPr>
        <w:t>Task 3 (입원기간 예측): LOS(일)에 log1p 변환을 적용한 회귀. 평가지표: MAE, RMSE, R².</w:t>
      </w:r>
    </w:p>
    <w:p>
      <w:pPr>
        <w:spacing w:before="240" w:after="80"/>
      </w:pPr>
      <w:r>
        <w:rPr>
          <w:b/>
          <w:sz w:val="22"/>
        </w:rPr>
        <w:t>3. 연구 결과</w:t>
      </w:r>
    </w:p>
    <w:p>
      <w:pPr>
        <w:spacing w:before="240" w:after="80"/>
      </w:pPr>
      <w:r>
        <w:rPr>
          <w:b/>
          <w:sz w:val="20"/>
        </w:rPr>
        <w:t>3.1 Task 1: 원내 사망 예측</w:t>
      </w:r>
    </w:p>
    <w:p>
      <w:pPr>
        <w:spacing w:after="60"/>
        <w:ind w:firstLine="397"/>
        <w:jc w:val="both"/>
      </w:pPr>
      <w:r>
        <w:rPr>
          <w:rFonts w:ascii="Times New Roman" w:hAnsi="Times New Roman" w:eastAsia="바탕"/>
          <w:sz w:val="19"/>
        </w:rPr>
        <w:t>Table 2에 사망 예측 모델의 단계별 성능 향상을 제시하였다. 기본 인구통계 피처만을 사용한 v1에서 AUROC 0.8425를 달성하였고, 48시간 임상 데이터를 추가한 v2에서 0.9353, 최종 662개 피처와 앙상블을 적용한 v3에서 0.9880으로 향상되었다(Fig. 1).</w:t>
      </w:r>
    </w:p>
    <w:p>
      <w:pPr>
        <w:spacing w:before="120" w:after="60"/>
        <w:jc w:val="center"/>
      </w:pPr>
      <w:r>
        <w:rPr>
          <w:b/>
          <w:sz w:val="18"/>
        </w:rPr>
        <w:t>Table 2. 사망 예측 모델 단계별 성능 비교</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fill="D9E2F3"/>
          </w:tcPr>
          <w:p>
            <w:pPr>
              <w:jc w:val="center"/>
            </w:pPr>
            <w:r/>
            <w:r>
              <w:rPr>
                <w:b/>
                <w:sz w:val="17"/>
              </w:rPr>
              <w:t>버전</w:t>
            </w:r>
          </w:p>
        </w:tc>
        <w:tc>
          <w:tcPr>
            <w:tcW w:type="dxa" w:w="1973"/>
            <w:shd w:fill="D9E2F3"/>
          </w:tcPr>
          <w:p>
            <w:pPr>
              <w:jc w:val="center"/>
            </w:pPr>
            <w:r/>
            <w:r>
              <w:rPr>
                <w:b/>
                <w:sz w:val="17"/>
              </w:rPr>
              <w:t>피처 수</w:t>
            </w:r>
          </w:p>
        </w:tc>
        <w:tc>
          <w:tcPr>
            <w:tcW w:type="dxa" w:w="1973"/>
            <w:shd w:fill="D9E2F3"/>
          </w:tcPr>
          <w:p>
            <w:pPr>
              <w:jc w:val="center"/>
            </w:pPr>
            <w:r/>
            <w:r>
              <w:rPr>
                <w:b/>
                <w:sz w:val="17"/>
              </w:rPr>
              <w:t>AUROC</w:t>
            </w:r>
          </w:p>
        </w:tc>
        <w:tc>
          <w:tcPr>
            <w:tcW w:type="dxa" w:w="1973"/>
            <w:shd w:fill="D9E2F3"/>
          </w:tcPr>
          <w:p>
            <w:pPr>
              <w:jc w:val="center"/>
            </w:pPr>
            <w:r/>
            <w:r>
              <w:rPr>
                <w:b/>
                <w:sz w:val="17"/>
              </w:rPr>
              <w:t>AUPRC</w:t>
            </w:r>
          </w:p>
        </w:tc>
        <w:tc>
          <w:tcPr>
            <w:tcW w:type="dxa" w:w="1973"/>
            <w:shd w:fill="D9E2F3"/>
          </w:tcPr>
          <w:p>
            <w:pPr>
              <w:jc w:val="center"/>
            </w:pPr>
            <w:r/>
            <w:r>
              <w:rPr>
                <w:b/>
                <w:sz w:val="17"/>
              </w:rPr>
              <w:t>F1</w:t>
            </w:r>
          </w:p>
        </w:tc>
      </w:tr>
      <w:tr>
        <w:tc>
          <w:tcPr>
            <w:tcW w:type="dxa" w:w="1973"/>
          </w:tcPr>
          <w:p>
            <w:pPr>
              <w:jc w:val="center"/>
            </w:pPr>
            <w:r/>
            <w:r>
              <w:rPr>
                <w:sz w:val="17"/>
              </w:rPr>
              <w:t>v1 (Baseline)</w:t>
            </w:r>
          </w:p>
        </w:tc>
        <w:tc>
          <w:tcPr>
            <w:tcW w:type="dxa" w:w="1973"/>
          </w:tcPr>
          <w:p>
            <w:pPr>
              <w:jc w:val="center"/>
            </w:pPr>
            <w:r/>
            <w:r>
              <w:rPr>
                <w:sz w:val="17"/>
              </w:rPr>
              <w:t>37</w:t>
            </w:r>
          </w:p>
        </w:tc>
        <w:tc>
          <w:tcPr>
            <w:tcW w:type="dxa" w:w="1973"/>
          </w:tcPr>
          <w:p>
            <w:pPr>
              <w:jc w:val="center"/>
            </w:pPr>
            <w:r/>
            <w:r>
              <w:rPr>
                <w:sz w:val="17"/>
              </w:rPr>
              <w:t>0.8425</w:t>
            </w:r>
          </w:p>
        </w:tc>
        <w:tc>
          <w:tcPr>
            <w:tcW w:type="dxa" w:w="1973"/>
          </w:tcPr>
          <w:p>
            <w:pPr>
              <w:jc w:val="center"/>
            </w:pPr>
            <w:r/>
            <w:r>
              <w:rPr>
                <w:sz w:val="17"/>
              </w:rPr>
              <w:t>0.4348</w:t>
            </w:r>
          </w:p>
        </w:tc>
        <w:tc>
          <w:tcPr>
            <w:tcW w:type="dxa" w:w="1973"/>
          </w:tcPr>
          <w:p>
            <w:pPr>
              <w:jc w:val="center"/>
            </w:pPr>
            <w:r/>
            <w:r>
              <w:rPr>
                <w:sz w:val="17"/>
              </w:rPr>
              <w:t>0.444</w:t>
            </w:r>
          </w:p>
        </w:tc>
      </w:tr>
      <w:tr>
        <w:tc>
          <w:tcPr>
            <w:tcW w:type="dxa" w:w="1973"/>
          </w:tcPr>
          <w:p>
            <w:pPr>
              <w:jc w:val="center"/>
            </w:pPr>
            <w:r/>
            <w:r>
              <w:rPr>
                <w:sz w:val="17"/>
              </w:rPr>
              <w:t>v2 (+Clinical)</w:t>
            </w:r>
          </w:p>
        </w:tc>
        <w:tc>
          <w:tcPr>
            <w:tcW w:type="dxa" w:w="1973"/>
          </w:tcPr>
          <w:p>
            <w:pPr>
              <w:jc w:val="center"/>
            </w:pPr>
            <w:r/>
            <w:r>
              <w:rPr>
                <w:sz w:val="17"/>
              </w:rPr>
              <w:t>255</w:t>
            </w:r>
          </w:p>
        </w:tc>
        <w:tc>
          <w:tcPr>
            <w:tcW w:type="dxa" w:w="1973"/>
          </w:tcPr>
          <w:p>
            <w:pPr>
              <w:jc w:val="center"/>
            </w:pPr>
            <w:r/>
            <w:r>
              <w:rPr>
                <w:sz w:val="17"/>
              </w:rPr>
              <w:t>0.9353</w:t>
            </w:r>
          </w:p>
        </w:tc>
        <w:tc>
          <w:tcPr>
            <w:tcW w:type="dxa" w:w="1973"/>
          </w:tcPr>
          <w:p>
            <w:pPr>
              <w:jc w:val="center"/>
            </w:pPr>
            <w:r/>
            <w:r>
              <w:rPr>
                <w:sz w:val="17"/>
              </w:rPr>
              <w:t>0.7277</w:t>
            </w:r>
          </w:p>
        </w:tc>
        <w:tc>
          <w:tcPr>
            <w:tcW w:type="dxa" w:w="1973"/>
          </w:tcPr>
          <w:p>
            <w:pPr>
              <w:jc w:val="center"/>
            </w:pPr>
            <w:r/>
            <w:r>
              <w:rPr>
                <w:sz w:val="17"/>
              </w:rPr>
              <w:t>0.645</w:t>
            </w:r>
          </w:p>
        </w:tc>
      </w:tr>
      <w:tr>
        <w:tc>
          <w:tcPr>
            <w:tcW w:type="dxa" w:w="1973"/>
          </w:tcPr>
          <w:p>
            <w:pPr>
              <w:jc w:val="center"/>
            </w:pPr>
            <w:r/>
            <w:r>
              <w:rPr>
                <w:b/>
                <w:sz w:val="17"/>
              </w:rPr>
              <w:t>v3 (Ultimate)</w:t>
            </w:r>
          </w:p>
        </w:tc>
        <w:tc>
          <w:tcPr>
            <w:tcW w:type="dxa" w:w="1973"/>
          </w:tcPr>
          <w:p>
            <w:pPr>
              <w:jc w:val="center"/>
            </w:pPr>
            <w:r/>
            <w:r>
              <w:rPr>
                <w:b/>
                <w:sz w:val="17"/>
              </w:rPr>
              <w:t>662</w:t>
            </w:r>
          </w:p>
        </w:tc>
        <w:tc>
          <w:tcPr>
            <w:tcW w:type="dxa" w:w="1973"/>
          </w:tcPr>
          <w:p>
            <w:pPr>
              <w:jc w:val="center"/>
            </w:pPr>
            <w:r/>
            <w:r>
              <w:rPr>
                <w:b/>
                <w:sz w:val="17"/>
              </w:rPr>
              <w:t>0.9880</w:t>
            </w:r>
          </w:p>
        </w:tc>
        <w:tc>
          <w:tcPr>
            <w:tcW w:type="dxa" w:w="1973"/>
          </w:tcPr>
          <w:p>
            <w:pPr>
              <w:jc w:val="center"/>
            </w:pPr>
            <w:r/>
            <w:r>
              <w:rPr>
                <w:b/>
                <w:sz w:val="17"/>
              </w:rPr>
              <w:t>0.9301</w:t>
            </w:r>
          </w:p>
        </w:tc>
        <w:tc>
          <w:tcPr>
            <w:tcW w:type="dxa" w:w="1973"/>
          </w:tcPr>
          <w:p>
            <w:pPr>
              <w:jc w:val="center"/>
            </w:pPr>
            <w:r/>
            <w:r>
              <w:rPr>
                <w:b/>
                <w:sz w:val="17"/>
              </w:rPr>
              <w:t>0.858</w:t>
            </w:r>
          </w:p>
        </w:tc>
      </w:tr>
    </w:tbl>
    <w:p>
      <w:pPr>
        <w:spacing w:after="40"/>
      </w:pPr>
    </w:p>
    <w:p>
      <w:pPr>
        <w:spacing w:before="120"/>
        <w:jc w:val="center"/>
      </w:pPr>
      <w:r>
        <w:drawing>
          <wp:inline xmlns:a="http://schemas.openxmlformats.org/drawingml/2006/main" xmlns:pic="http://schemas.openxmlformats.org/drawingml/2006/picture">
            <wp:extent cx="2700000" cy="1752098"/>
            <wp:docPr id="1" name="Picture 1"/>
            <wp:cNvGraphicFramePr>
              <a:graphicFrameLocks noChangeAspect="1"/>
            </wp:cNvGraphicFramePr>
            <a:graphic>
              <a:graphicData uri="http://schemas.openxmlformats.org/drawingml/2006/picture">
                <pic:pic>
                  <pic:nvPicPr>
                    <pic:cNvPr id="0" name="fig1_auroc_comparison.png"/>
                    <pic:cNvPicPr/>
                  </pic:nvPicPr>
                  <pic:blipFill>
                    <a:blip r:embed="rId9"/>
                    <a:stretch>
                      <a:fillRect/>
                    </a:stretch>
                  </pic:blipFill>
                  <pic:spPr>
                    <a:xfrm>
                      <a:off x="0" y="0"/>
                      <a:ext cx="2700000" cy="1752098"/>
                    </a:xfrm>
                    <a:prstGeom prst="rect"/>
                  </pic:spPr>
                </pic:pic>
              </a:graphicData>
            </a:graphic>
          </wp:inline>
        </w:drawing>
      </w:r>
    </w:p>
    <w:p>
      <w:pPr>
        <w:spacing w:after="120"/>
        <w:jc w:val="center"/>
      </w:pPr>
      <w:r>
        <w:rPr>
          <w:b/>
          <w:sz w:val="18"/>
        </w:rPr>
        <w:t>그림 1. 단계별 AUROC 성능 향상</w:t>
      </w:r>
    </w:p>
    <w:p>
      <w:pPr>
        <w:spacing w:after="60"/>
        <w:ind w:firstLine="397"/>
        <w:jc w:val="both"/>
      </w:pPr>
      <w:r>
        <w:rPr>
          <w:rFonts w:ascii="Times New Roman" w:hAnsi="Times New Roman" w:eastAsia="바탕"/>
          <w:sz w:val="19"/>
        </w:rPr>
        <w:t>5-Fold 교차검증에서 평균 AUROC 0.9847(SD=0.0012)로 안정적 성능을 확인하였다. 최적 임계값(0.59) 적용 시 사망 예측 precision 0.91, recall 0.81, 전체 accuracy 0.97을 달성하였다.</w:t>
      </w:r>
    </w:p>
    <w:p>
      <w:pPr>
        <w:spacing w:before="120"/>
        <w:jc w:val="center"/>
      </w:pPr>
      <w:r>
        <w:drawing>
          <wp:inline xmlns:a="http://schemas.openxmlformats.org/drawingml/2006/main" xmlns:pic="http://schemas.openxmlformats.org/drawingml/2006/picture">
            <wp:extent cx="2700000" cy="1944643"/>
            <wp:docPr id="2" name="Picture 2"/>
            <wp:cNvGraphicFramePr>
              <a:graphicFrameLocks noChangeAspect="1"/>
            </wp:cNvGraphicFramePr>
            <a:graphic>
              <a:graphicData uri="http://schemas.openxmlformats.org/drawingml/2006/picture">
                <pic:pic>
                  <pic:nvPicPr>
                    <pic:cNvPr id="0" name="fig2_feature_importance.png"/>
                    <pic:cNvPicPr/>
                  </pic:nvPicPr>
                  <pic:blipFill>
                    <a:blip r:embed="rId10"/>
                    <a:stretch>
                      <a:fillRect/>
                    </a:stretch>
                  </pic:blipFill>
                  <pic:spPr>
                    <a:xfrm>
                      <a:off x="0" y="0"/>
                      <a:ext cx="2700000" cy="1944643"/>
                    </a:xfrm>
                    <a:prstGeom prst="rect"/>
                  </pic:spPr>
                </pic:pic>
              </a:graphicData>
            </a:graphic>
          </wp:inline>
        </w:drawing>
      </w:r>
    </w:p>
    <w:p>
      <w:pPr>
        <w:spacing w:after="120"/>
        <w:jc w:val="center"/>
      </w:pPr>
      <w:r>
        <w:rPr>
          <w:b/>
          <w:sz w:val="18"/>
        </w:rPr>
        <w:t>그림 2. 사망 예측 모델 상위 10개 피처 중요도</w:t>
      </w:r>
    </w:p>
    <w:p>
      <w:pPr>
        <w:spacing w:after="60"/>
        <w:ind w:firstLine="397"/>
        <w:jc w:val="both"/>
      </w:pPr>
      <w:r>
        <w:rPr>
          <w:rFonts w:ascii="Times New Roman" w:hAnsi="Times New Roman" w:eastAsia="바탕"/>
          <w:sz w:val="19"/>
        </w:rPr>
        <w:t>Fig. 2에 상위 10개 피처 중요도를 나타내었다. GCS(Glasgow Coma Scale) 관련 변수가 상위 5위 중 4개를 차지하여 의식수준이 사망 예측의 가장 강력한 인자임을 확인하였다. DNR(Do Not Resuscitate) 키워드, norepinephrine 처방, lactate 수치 등 임상적으로 유의미한 피처들이 상위에 분포하였다.</w:t>
      </w:r>
    </w:p>
    <w:p>
      <w:pPr>
        <w:spacing w:before="120"/>
        <w:jc w:val="center"/>
      </w:pPr>
      <w:r>
        <w:drawing>
          <wp:inline xmlns:a="http://schemas.openxmlformats.org/drawingml/2006/main" xmlns:pic="http://schemas.openxmlformats.org/drawingml/2006/picture">
            <wp:extent cx="2700000" cy="2209829"/>
            <wp:docPr id="3" name="Picture 3"/>
            <wp:cNvGraphicFramePr>
              <a:graphicFrameLocks noChangeAspect="1"/>
            </wp:cNvGraphicFramePr>
            <a:graphic>
              <a:graphicData uri="http://schemas.openxmlformats.org/drawingml/2006/picture">
                <pic:pic>
                  <pic:nvPicPr>
                    <pic:cNvPr id="0" name="fig3_roc_curves.png"/>
                    <pic:cNvPicPr/>
                  </pic:nvPicPr>
                  <pic:blipFill>
                    <a:blip r:embed="rId11"/>
                    <a:stretch>
                      <a:fillRect/>
                    </a:stretch>
                  </pic:blipFill>
                  <pic:spPr>
                    <a:xfrm>
                      <a:off x="0" y="0"/>
                      <a:ext cx="2700000" cy="2209829"/>
                    </a:xfrm>
                    <a:prstGeom prst="rect"/>
                  </pic:spPr>
                </pic:pic>
              </a:graphicData>
            </a:graphic>
          </wp:inline>
        </w:drawing>
      </w:r>
    </w:p>
    <w:p>
      <w:pPr>
        <w:spacing w:after="120"/>
        <w:jc w:val="center"/>
      </w:pPr>
      <w:r>
        <w:rPr>
          <w:b/>
          <w:sz w:val="18"/>
        </w:rPr>
        <w:t>그림 3. 버전별 ROC 곡선 비교</w:t>
      </w:r>
    </w:p>
    <w:p>
      <w:pPr>
        <w:spacing w:before="240" w:after="80"/>
      </w:pPr>
      <w:r>
        <w:rPr>
          <w:b/>
          <w:sz w:val="20"/>
        </w:rPr>
        <w:t>3.2 Task 2: ICD-9 진단 그룹 예측</w:t>
      </w:r>
    </w:p>
    <w:p>
      <w:pPr>
        <w:spacing w:after="60"/>
        <w:ind w:firstLine="397"/>
        <w:jc w:val="both"/>
      </w:pPr>
      <w:r>
        <w:rPr>
          <w:rFonts w:ascii="Times New Roman" w:hAnsi="Times New Roman" w:eastAsia="바탕"/>
          <w:sz w:val="19"/>
        </w:rPr>
        <w:t>17개 ICD-9 그룹 분류에서 LightGBM이 accuracy 0.5994, weighted F1 0.5838, AUC(OVR) 0.8894를 달성하였다. 순환기계(390-459) 그룹이 36.1%로 가장 높은 비율을 차지하였으며, 해당 그룹의 F1이 0.71로 가장 높았다. 임상 데이터 추가로 baseline 대비 accuracy가 0.4509에서 0.5994로 32.9% 향상되었다.</w:t>
      </w:r>
    </w:p>
    <w:p>
      <w:pPr>
        <w:spacing w:before="240" w:after="80"/>
      </w:pPr>
      <w:r>
        <w:rPr>
          <w:b/>
          <w:sz w:val="20"/>
        </w:rPr>
        <w:t>3.3 Task 3: 입원기간 예측</w:t>
      </w:r>
    </w:p>
    <w:p>
      <w:pPr>
        <w:spacing w:after="60"/>
        <w:ind w:firstLine="397"/>
        <w:jc w:val="both"/>
      </w:pPr>
      <w:r>
        <w:rPr>
          <w:rFonts w:ascii="Times New Roman" w:hAnsi="Times New Roman" w:eastAsia="바탕"/>
          <w:sz w:val="19"/>
        </w:rPr>
        <w:t>입원기간 예측에서 XGBoost 회귀 모델이 MAE 3.384일, RMSE 6.545일, R² 0.606을 달성하였다. 3-7일 구간에서 MAE 1.60일로 가장 정확하였으며, 30일 이상 장기 입원에서는 MAE 17.98일로 예측이 어려웠다. 이는 장기 입원의 높은 분산과 희소성에 기인한다.</w:t>
      </w:r>
    </w:p>
    <w:p>
      <w:pPr>
        <w:spacing w:before="120" w:after="60"/>
        <w:jc w:val="center"/>
      </w:pPr>
      <w:r>
        <w:rPr>
          <w:b/>
          <w:sz w:val="18"/>
        </w:rPr>
        <w:t>Table 3. 3개 예측 과제 최종 성능 요약</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D9E2F3"/>
          </w:tcPr>
          <w:p>
            <w:pPr>
              <w:jc w:val="center"/>
            </w:pPr>
            <w:r/>
            <w:r>
              <w:rPr>
                <w:b/>
                <w:sz w:val="17"/>
              </w:rPr>
              <w:t>과제</w:t>
            </w:r>
          </w:p>
        </w:tc>
        <w:tc>
          <w:tcPr>
            <w:tcW w:type="dxa" w:w="2466"/>
            <w:shd w:fill="D9E2F3"/>
          </w:tcPr>
          <w:p>
            <w:pPr>
              <w:jc w:val="center"/>
            </w:pPr>
            <w:r/>
            <w:r>
              <w:rPr>
                <w:b/>
                <w:sz w:val="17"/>
              </w:rPr>
              <w:t>모델</w:t>
            </w:r>
          </w:p>
        </w:tc>
        <w:tc>
          <w:tcPr>
            <w:tcW w:type="dxa" w:w="2466"/>
            <w:shd w:fill="D9E2F3"/>
          </w:tcPr>
          <w:p>
            <w:pPr>
              <w:jc w:val="center"/>
            </w:pPr>
            <w:r/>
            <w:r>
              <w:rPr>
                <w:b/>
                <w:sz w:val="17"/>
              </w:rPr>
              <w:t>주요 지표</w:t>
            </w:r>
          </w:p>
        </w:tc>
        <w:tc>
          <w:tcPr>
            <w:tcW w:type="dxa" w:w="2466"/>
            <w:shd w:fill="D9E2F3"/>
          </w:tcPr>
          <w:p>
            <w:pPr>
              <w:jc w:val="center"/>
            </w:pPr>
            <w:r/>
            <w:r>
              <w:rPr>
                <w:b/>
                <w:sz w:val="17"/>
              </w:rPr>
              <w:t>성능</w:t>
            </w:r>
          </w:p>
        </w:tc>
      </w:tr>
      <w:tr>
        <w:tc>
          <w:tcPr>
            <w:tcW w:type="dxa" w:w="2466"/>
          </w:tcPr>
          <w:p>
            <w:pPr>
              <w:jc w:val="center"/>
            </w:pPr>
            <w:r/>
            <w:r>
              <w:rPr>
                <w:sz w:val="17"/>
              </w:rPr>
              <w:t>Task 1: 사망 예측</w:t>
            </w:r>
          </w:p>
        </w:tc>
        <w:tc>
          <w:tcPr>
            <w:tcW w:type="dxa" w:w="2466"/>
          </w:tcPr>
          <w:p>
            <w:pPr>
              <w:jc w:val="center"/>
            </w:pPr>
            <w:r/>
            <w:r>
              <w:rPr>
                <w:sz w:val="17"/>
              </w:rPr>
              <w:t>Weighted Ensemble</w:t>
            </w:r>
          </w:p>
        </w:tc>
        <w:tc>
          <w:tcPr>
            <w:tcW w:type="dxa" w:w="2466"/>
          </w:tcPr>
          <w:p>
            <w:pPr>
              <w:jc w:val="center"/>
            </w:pPr>
            <w:r/>
            <w:r>
              <w:rPr>
                <w:sz w:val="17"/>
              </w:rPr>
              <w:t>AUROC / AUPRC</w:t>
            </w:r>
          </w:p>
        </w:tc>
        <w:tc>
          <w:tcPr>
            <w:tcW w:type="dxa" w:w="2466"/>
          </w:tcPr>
          <w:p>
            <w:pPr>
              <w:jc w:val="center"/>
            </w:pPr>
            <w:r/>
            <w:r>
              <w:rPr>
                <w:sz w:val="17"/>
              </w:rPr>
              <w:t>0.988 / 0.930</w:t>
            </w:r>
          </w:p>
        </w:tc>
      </w:tr>
      <w:tr>
        <w:tc>
          <w:tcPr>
            <w:tcW w:type="dxa" w:w="2466"/>
          </w:tcPr>
          <w:p>
            <w:pPr>
              <w:jc w:val="center"/>
            </w:pPr>
            <w:r/>
            <w:r>
              <w:rPr>
                <w:sz w:val="17"/>
              </w:rPr>
              <w:t>Task 2: 진단 분류</w:t>
            </w:r>
          </w:p>
        </w:tc>
        <w:tc>
          <w:tcPr>
            <w:tcW w:type="dxa" w:w="2466"/>
          </w:tcPr>
          <w:p>
            <w:pPr>
              <w:jc w:val="center"/>
            </w:pPr>
            <w:r/>
            <w:r>
              <w:rPr>
                <w:sz w:val="17"/>
              </w:rPr>
              <w:t>LightGBM</w:t>
            </w:r>
          </w:p>
        </w:tc>
        <w:tc>
          <w:tcPr>
            <w:tcW w:type="dxa" w:w="2466"/>
          </w:tcPr>
          <w:p>
            <w:pPr>
              <w:jc w:val="center"/>
            </w:pPr>
            <w:r/>
            <w:r>
              <w:rPr>
                <w:sz w:val="17"/>
              </w:rPr>
              <w:t>Accuracy / AUC</w:t>
            </w:r>
          </w:p>
        </w:tc>
        <w:tc>
          <w:tcPr>
            <w:tcW w:type="dxa" w:w="2466"/>
          </w:tcPr>
          <w:p>
            <w:pPr>
              <w:jc w:val="center"/>
            </w:pPr>
            <w:r/>
            <w:r>
              <w:rPr>
                <w:sz w:val="17"/>
              </w:rPr>
              <w:t>0.599 / 0.889</w:t>
            </w:r>
          </w:p>
        </w:tc>
      </w:tr>
      <w:tr>
        <w:tc>
          <w:tcPr>
            <w:tcW w:type="dxa" w:w="2466"/>
          </w:tcPr>
          <w:p>
            <w:pPr>
              <w:jc w:val="center"/>
            </w:pPr>
            <w:r/>
            <w:r>
              <w:rPr>
                <w:b/>
                <w:sz w:val="17"/>
              </w:rPr>
              <w:t>Task 3: 입원기간</w:t>
            </w:r>
          </w:p>
        </w:tc>
        <w:tc>
          <w:tcPr>
            <w:tcW w:type="dxa" w:w="2466"/>
          </w:tcPr>
          <w:p>
            <w:pPr>
              <w:jc w:val="center"/>
            </w:pPr>
            <w:r/>
            <w:r>
              <w:rPr>
                <w:b/>
                <w:sz w:val="17"/>
              </w:rPr>
              <w:t>XGBoost</w:t>
            </w:r>
          </w:p>
        </w:tc>
        <w:tc>
          <w:tcPr>
            <w:tcW w:type="dxa" w:w="2466"/>
          </w:tcPr>
          <w:p>
            <w:pPr>
              <w:jc w:val="center"/>
            </w:pPr>
            <w:r/>
            <w:r>
              <w:rPr>
                <w:b/>
                <w:sz w:val="17"/>
              </w:rPr>
              <w:t>MAE / R²</w:t>
            </w:r>
          </w:p>
        </w:tc>
        <w:tc>
          <w:tcPr>
            <w:tcW w:type="dxa" w:w="2466"/>
          </w:tcPr>
          <w:p>
            <w:pPr>
              <w:jc w:val="center"/>
            </w:pPr>
            <w:r/>
            <w:r>
              <w:rPr>
                <w:b/>
                <w:sz w:val="17"/>
              </w:rPr>
              <w:t>3.384일 / 0.606</w:t>
            </w:r>
          </w:p>
        </w:tc>
      </w:tr>
    </w:tbl>
    <w:p>
      <w:pPr>
        <w:spacing w:after="40"/>
      </w:pPr>
    </w:p>
    <w:p>
      <w:pPr>
        <w:spacing w:before="120"/>
        <w:jc w:val="center"/>
      </w:pPr>
      <w:r>
        <w:drawing>
          <wp:inline xmlns:a="http://schemas.openxmlformats.org/drawingml/2006/main" xmlns:pic="http://schemas.openxmlformats.org/drawingml/2006/picture">
            <wp:extent cx="5400000" cy="1648339"/>
            <wp:docPr id="4" name="Picture 4"/>
            <wp:cNvGraphicFramePr>
              <a:graphicFrameLocks noChangeAspect="1"/>
            </wp:cNvGraphicFramePr>
            <a:graphic>
              <a:graphicData uri="http://schemas.openxmlformats.org/drawingml/2006/picture">
                <pic:pic>
                  <pic:nvPicPr>
                    <pic:cNvPr id="0" name="fig4_three_tasks.png"/>
                    <pic:cNvPicPr/>
                  </pic:nvPicPr>
                  <pic:blipFill>
                    <a:blip r:embed="rId12"/>
                    <a:stretch>
                      <a:fillRect/>
                    </a:stretch>
                  </pic:blipFill>
                  <pic:spPr>
                    <a:xfrm>
                      <a:off x="0" y="0"/>
                      <a:ext cx="5400000" cy="1648339"/>
                    </a:xfrm>
                    <a:prstGeom prst="rect"/>
                  </pic:spPr>
                </pic:pic>
              </a:graphicData>
            </a:graphic>
          </wp:inline>
        </w:drawing>
      </w:r>
    </w:p>
    <w:p>
      <w:pPr>
        <w:spacing w:after="120"/>
        <w:jc w:val="center"/>
      </w:pPr>
      <w:r>
        <w:rPr>
          <w:b/>
          <w:sz w:val="18"/>
        </w:rPr>
        <w:t>그림 4. 3개 예측 과제별 모델 성능 비교</w:t>
      </w:r>
    </w:p>
    <w:p>
      <w:pPr>
        <w:spacing w:before="240" w:after="80"/>
      </w:pPr>
      <w:r>
        <w:rPr>
          <w:b/>
          <w:sz w:val="20"/>
        </w:rPr>
        <w:t>3.4 연산 효율성</w:t>
      </w:r>
    </w:p>
    <w:p>
      <w:pPr>
        <w:spacing w:after="60"/>
        <w:ind w:firstLine="397"/>
        <w:jc w:val="both"/>
      </w:pPr>
      <w:r>
        <w:rPr>
          <w:rFonts w:ascii="Times New Roman" w:hAnsi="Times New Roman" w:eastAsia="바탕"/>
          <w:sz w:val="19"/>
        </w:rPr>
        <w:t>전체 파이프라인(데이터 로딩, 전처리, 피처 엔지니어링, 모델 학습, 평가)이 GPU 없이 일반 CPU(Intel Core i7) 환경에서 총 1,071초(약 18분)에 완료되었다. 이 중 모델 학습은 약 94초(8.8%)에 불과하였으며, 대부분의 시간(91.2%)은 대용량 CSV 데이터의 I/O 및 전처리에 소요되었다. 이는 트리 기반 모델의 연산 효율성을 입증하며, 온디바이스 AI 모델 배포의 실현 가능성을 시사한다.</w:t>
      </w:r>
    </w:p>
    <w:p>
      <w:pPr>
        <w:spacing w:before="240" w:after="80"/>
      </w:pPr>
      <w:r>
        <w:rPr>
          <w:b/>
          <w:sz w:val="22"/>
        </w:rPr>
        <w:t>4. 결론</w:t>
      </w:r>
    </w:p>
    <w:p>
      <w:pPr>
        <w:spacing w:after="60"/>
        <w:ind w:firstLine="397"/>
        <w:jc w:val="both"/>
      </w:pPr>
      <w:r>
        <w:rPr>
          <w:rFonts w:ascii="Times New Roman" w:hAnsi="Times New Roman" w:eastAsia="바탕"/>
          <w:sz w:val="19"/>
        </w:rPr>
        <w:t>본 연구에서는 MIMIC-III 데이터베이스의 6개 데이터 소스로부터 662개의 포괄적 임상 피처를 설계하고, XGBoost-LightGBM 가중 앙상블 모델을 통해 원내 사망 예측 AUROC 0.9880을 달성하였다. 이는 기존 딥러닝 기반 연구[6]의 0.93-0.95 수준을 상회하는 성능이며, GPU 없이 18분 내에 전체 실행이 가능하다는 점에서 온디바이스 AI 적용에 유리하다.</w:t>
      </w:r>
    </w:p>
    <w:p>
      <w:pPr>
        <w:spacing w:after="60"/>
        <w:ind w:firstLine="397"/>
        <w:jc w:val="both"/>
      </w:pPr>
      <w:r>
        <w:rPr>
          <w:rFonts w:ascii="Times New Roman" w:hAnsi="Times New Roman" w:eastAsia="바탕"/>
          <w:sz w:val="19"/>
        </w:rPr>
        <w:t>피처 중요도 분석을 통해 GCS(의식수준), SOFA 점수, 승압제 사용, lactate 수치, DNR 기록 등이 사망 예측의 핵심 인자임을 확인하였으며, 이는 임상적 도메인 지식과 일치하는 결과이다.</w:t>
      </w:r>
    </w:p>
    <w:p>
      <w:pPr>
        <w:spacing w:after="60"/>
        <w:ind w:firstLine="397"/>
        <w:jc w:val="both"/>
      </w:pPr>
      <w:r>
        <w:rPr>
          <w:rFonts w:ascii="Times New Roman" w:hAnsi="Times New Roman" w:eastAsia="바탕"/>
          <w:sz w:val="19"/>
        </w:rPr>
        <w:t>향후 연구에서는 시계열 딥러닝 모델(LSTM, Transformer)과의 비교 실험, ClinicalBERT 기반 NLP 고도화, 그리고 실시간 예측을 위한 경량 모델 최적화(quantization, pruning)를 통해 실제 임상 환경에서의 온디바이스 배포를 추진할 예정이다.</w:t>
      </w:r>
    </w:p>
    <w:p>
      <w:pPr>
        <w:spacing w:before="240" w:after="80"/>
      </w:pPr>
      <w:r>
        <w:rPr>
          <w:b/>
          <w:sz w:val="22"/>
        </w:rPr>
        <w:t>Acknowledgements</w:t>
      </w:r>
    </w:p>
    <w:p>
      <w:pPr>
        <w:spacing w:after="60"/>
        <w:jc w:val="both"/>
      </w:pPr>
      <w:r>
        <w:rPr>
          <w:rFonts w:ascii="Times New Roman" w:hAnsi="Times New Roman" w:eastAsia="바탕"/>
          <w:sz w:val="19"/>
        </w:rPr>
        <w:t>이 연구는 연세대학교 AI반도체학부 산학연 프로젝트의 지원을 받아 수행하였다.</w:t>
      </w:r>
    </w:p>
    <w:p>
      <w:pPr>
        <w:spacing w:before="240" w:after="80"/>
      </w:pPr>
      <w:r>
        <w:rPr>
          <w:b/>
          <w:sz w:val="22"/>
        </w:rPr>
        <w:t>5. 참고 문헌</w:t>
      </w:r>
    </w:p>
    <w:p>
      <w:pPr>
        <w:spacing w:after="20"/>
        <w:ind w:left="283" w:hanging="283"/>
      </w:pPr>
      <w:r>
        <w:rPr>
          <w:sz w:val="16"/>
        </w:rPr>
        <w:t>[1] A. E. W. Johnson et al., "Machine learning and decision support in critical care," Proc. IEEE, Vol. 104, No. 2, pp. 444-466, 2016.</w:t>
      </w:r>
    </w:p>
    <w:p>
      <w:pPr>
        <w:spacing w:after="20"/>
        <w:ind w:left="283" w:hanging="283"/>
      </w:pPr>
      <w:r>
        <w:rPr>
          <w:sz w:val="16"/>
        </w:rPr>
        <w:t>[2] H. Harutyunyan et al., "Multitask learning and benchmarking with clinical time series data," Scientific Data, Vol. 6, No. 96, 2019.</w:t>
      </w:r>
    </w:p>
    <w:p>
      <w:pPr>
        <w:spacing w:after="20"/>
        <w:ind w:left="283" w:hanging="283"/>
      </w:pPr>
      <w:r>
        <w:rPr>
          <w:sz w:val="16"/>
        </w:rPr>
        <w:t>[3] S. Purushotham et al., "Benchmarking deep learning models on large healthcare datasets," J. Biomed. Inform., Vol. 83, pp. 112-134, 2018.</w:t>
      </w:r>
    </w:p>
    <w:p>
      <w:pPr>
        <w:spacing w:after="20"/>
        <w:ind w:left="283" w:hanging="283"/>
      </w:pPr>
      <w:r>
        <w:rPr>
          <w:sz w:val="16"/>
        </w:rPr>
        <w:t>[4] A. E. W. Johnson et al., "MIMIC-III, a freely accessible critical care database," Scientific Data, Vol. 3, 160035, 2016.</w:t>
      </w:r>
    </w:p>
    <w:p>
      <w:pPr>
        <w:spacing w:after="20"/>
        <w:ind w:left="283" w:hanging="283"/>
      </w:pPr>
      <w:r>
        <w:rPr>
          <w:sz w:val="16"/>
        </w:rPr>
        <w:t>[5] Y. P. Tabak et al., "Using automated clinical data for risk adjustment," Med. Care, Vol. 45, No. 8, pp. 789-805, 2007.</w:t>
      </w:r>
    </w:p>
    <w:p>
      <w:pPr>
        <w:spacing w:after="20"/>
        <w:ind w:left="283" w:hanging="283"/>
      </w:pPr>
      <w:r>
        <w:rPr>
          <w:sz w:val="16"/>
        </w:rPr>
        <w:t>[6] R. Miotto et al., "Deep patient: An unsupervised representation to predict the future of patients from EHR," Scientific Reports, Vol. 6, 26094, 2016.</w:t>
      </w:r>
    </w:p>
    <w:p>
      <w:pPr>
        <w:spacing w:after="20"/>
        <w:ind w:left="283" w:hanging="283"/>
      </w:pPr>
      <w:r>
        <w:rPr>
          <w:sz w:val="16"/>
        </w:rPr>
        <w:t>[7] T. Chen and C. Guestrin, "XGBoost: A scalable tree boosting system," Proc. KDD, pp. 785-794, 2016.</w:t>
      </w:r>
    </w:p>
    <w:p>
      <w:pPr>
        <w:spacing w:after="20"/>
        <w:ind w:left="283" w:hanging="283"/>
      </w:pPr>
      <w:r>
        <w:rPr>
          <w:sz w:val="16"/>
        </w:rPr>
        <w:t>[8] G. Ke et al., "LightGBM: A highly efficient gradient boosting decision tree," Proc. NeurIPS, pp. 3146-3154, 2017.</w:t>
      </w:r>
    </w:p>
    <w:sectPr w:rsidR="00FC693F" w:rsidRPr="0006063C" w:rsidSect="00034616">
      <w:type w:val="continuous"/>
      <w:pgSz w:w="11906" w:h="16838"/>
      <w:pgMar w:top="850" w:right="1020" w:bottom="850" w:left="102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eastAsia="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