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to offer better and more customized products and services that take into account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companies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 xml:space="preserve">other parties: (i)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9C0181" w14:textId="77777777" w:rsidR="00410256" w:rsidRDefault="00410256" w:rsidP="009C452F">
      <w:r>
        <w:separator/>
      </w:r>
    </w:p>
  </w:endnote>
  <w:endnote w:type="continuationSeparator" w:id="0">
    <w:p w14:paraId="502D4D47" w14:textId="77777777" w:rsidR="00410256" w:rsidRDefault="00410256"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41025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363735" w14:textId="77777777" w:rsidR="00410256" w:rsidRDefault="00410256" w:rsidP="009C452F">
      <w:r>
        <w:separator/>
      </w:r>
    </w:p>
  </w:footnote>
  <w:footnote w:type="continuationSeparator" w:id="0">
    <w:p w14:paraId="4A30E9C2" w14:textId="77777777" w:rsidR="00410256" w:rsidRDefault="00410256"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10256"/>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D543EA"/>
    <w:rsid w:val="00DB3C1E"/>
    <w:rsid w:val="00F10CDF"/>
    <w:rsid w:val="00F872E2"/>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B59EBD-E4CC-43EF-B732-C9D89BEDA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2025-01-22T07:42:00Z</dcterms:created>
  <dcterms:modified xsi:type="dcterms:W3CDTF">2025-01-22T07:42:00Z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