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Política de privacidad de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Fecha de entrada en vigor: 1 de enero de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Samsung Electronics Co., Ltd. (responsable del tratamiento) (“</w:t>
      </w:r>
      <w:r>
        <w:rPr>
          <w:rFonts w:ascii="Calibri" w:hAnsi="Calibri"/>
          <w:b/>
        </w:rPr>
        <w:t>Samsung</w:t>
      </w:r>
      <w:r>
        <w:rPr>
          <w:rFonts w:ascii="Calibri" w:hAnsi="Calibri"/>
        </w:rPr>
        <w:t xml:space="preserve">”) sabe lo importante que es la privacidad para sus clientes, sus trabajadores y sus socios, y hace todo lo posible para ser clara respecto a su forma de recopilar, utilizar, revelar, transferir y almacenar su información. Esta Política de privacidad ofrece una descripción general de nuestras prácticas en materia de información respecto a la información personal recopilada a través de </w:t>
      </w:r>
      <w:r>
        <w:rPr>
          <w:rFonts w:ascii="Calibri" w:hAnsi="Calibri"/>
          <w:b/>
        </w:rPr>
        <w:t>Samsung Plus</w:t>
      </w:r>
      <w:r>
        <w:rPr>
          <w:rFonts w:ascii="Calibri" w:hAnsi="Calibri"/>
        </w:rPr>
        <w:t xml:space="preserve"> (los “</w:t>
      </w:r>
      <w:r>
        <w:rPr>
          <w:rFonts w:ascii="Calibri" w:hAnsi="Calibri"/>
          <w:b/>
        </w:rPr>
        <w:t>Servicios empresariales</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Esta Política de privacidad puede actualizarse periódicamente para reflejar cambios de nuestras prácticas en materia de información personal con respecto a los Servicios empresariales o cambios de la legislación aplicable. Indicaremos al principio de esta Política de privacidad cuándo se actualizó por última vez. Si actualizamos la Política de privacidad, le notificaremos con antelación los cambios que consideremos importantes publicando un aviso en los Servicios empresariales o enviándole un mensaje de correo electrónico, cuando corresponda.</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¿Qué información recopilamos?</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Recopilaremos distintos tipos de información personal relacionada con los Servicios empresariales.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ejemplo:</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Recopilaremos información personal que proporcione mediante sus interacciones con los Servicios empresariales, como su nombre, su dirección, su dirección de correo electrónico y sus datos de contacto, su puesto y su cargo, su empresa, su idioma, sus </w:t>
      </w:r>
      <w:r>
        <w:rPr>
          <w:rFonts w:ascii="Calibri" w:hAnsi="Calibri"/>
          <w:sz w:val="24"/>
          <w:szCs w:val="24"/>
        </w:rPr>
        <w:t>datos de registro</w:t>
      </w:r>
      <w:r>
        <w:rPr>
          <w:rFonts w:ascii="Calibri" w:hAnsi="Calibri"/>
          <w:kern w:val="0"/>
          <w:sz w:val="24"/>
          <w:szCs w:val="24"/>
        </w:rPr>
        <w:t>, sus interacciones táctiles y demás entradas</w:t>
      </w:r>
      <w:r>
        <w:t xml:space="preserve"> </w:t>
      </w:r>
      <w:r>
        <w:rPr>
          <w:rFonts w:ascii="Calibri" w:hAnsi="Calibri"/>
          <w:sz w:val="24"/>
          <w:szCs w:val="24"/>
        </w:rPr>
        <w:t xml:space="preserve">y cualquier </w:t>
      </w:r>
      <w:r>
        <w:rPr>
          <w:rFonts w:ascii="Calibri" w:hAnsi="Calibri"/>
          <w:kern w:val="0"/>
          <w:sz w:val="24"/>
          <w:szCs w:val="24"/>
        </w:rPr>
        <w:t>comunicación que nos envíe o entregue o que comparta con nuestros clientes</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Recopilaremos datos sobre su uso de los Servicios empresariales, lo que incluye el momento y la duración de su uso, información almacenada en cookies que hemos colocado en su dispositivo e información sobre la configuración de su dispositivo.</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También podemos recibir información personal sobre usted de su empresa o proveedor de servicios o de fuentes pública y comercialmente disponibles (si lo permite la ley), que podemos combinar con otra información que recibamos de o sobre usted (si lo permite la ley o de otro modo con su consentimiento independiente).</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También podemos obtener otra información relacionada con su uso de los Servicios empresariales, lo que incluye la información (por ejemplo, información relacionada con las aplicaciones que usa, imágenes, entradas de calendario y contenido y datos de otras aplicaciones, otros sitios web y otros servicios de Samsung y de terceros) que recibimos de las aplicaciones y los servicios de Samsung y de terceros a los que acceden los Servicios empresariales o que usan los Servicios empresariales para prestarle los Servicios.</w:t>
      </w:r>
    </w:p>
    <w:p w14:paraId="2D830A0F" w14:textId="77777777" w:rsidR="00C30D47" w:rsidRPr="00CF061A" w:rsidRDefault="00C30D47" w:rsidP="00C30D47">
      <w:pPr>
        <w:pStyle w:val="a5"/>
        <w:rPr>
          <w:rFonts w:ascii="Calibri" w:eastAsia="굴림" w:hAnsi="Calibri" w:cs="Arial"/>
          <w:sz w:val="24"/>
          <w:szCs w:val="24"/>
        </w:rPr>
      </w:pPr>
      <w:bookmarkStart w:id="2" w:name="_GoBack"/>
      <w:bookmarkEnd w:id="2"/>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Recopilamos a través de medios automatizados información sobre sus dispositivos con los Servicios empresariales, como los modelos de los dispositivos, las versiones de los sistemas operativos, las configuraciones y los ajustes de los dispositivos, las direcciones IP y los identificadores de los dispositivos y otros identificadores únicos. Además, podemos obtener información sobre cómo, cuándo y durante cuánto tiempo utiliza sus dispositivos con los Servicios empresariales, lo que incluye su uso de los Servicios empresariales y de aplicaciones y servicios de Samsung y de terceros en los dispositivos (por ejemplo, una lista de aplicaciones de sus dispositivos, la música reproducida en sus dispositivos, los sitios web que visita y las búsquedas que realiza).</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A través de los Servicios empresariales recopilamos información personal sobre sus actividades en línea en sitios web y dispositivos conectados a lo largo del tiempo y en sitios web, dispositivos, aplicaciones y otras funciones y otros servicios en línea de terceros. Podemos usar servicios de análisis de terceros en los Servicios empresariales, como los de Google Analytics. Los proveedores de servicios que administran estos servicios de análisis nos ayudan a analizar su uso de los Servicios empresariales y a mejorar los Servicios empresariales. La información que obtenemos puede ser revelada a estos proveedores y a otros terceros relevantes que utilizan la información, por ejemplo, para evaluar el uso de los Servicios empresariales, para ayudar a administrar los Servicios empresariales y para diagnosticar problemas técnicos. Si desea más información sobre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y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Puede no proporcionarnos determinados tipos de información, como el nombre de usuario y la dirección de correo electrónico. En algunos casos, esto puede limitar su capacidad de usar los Servicios empresariales. Haremos todo lo posible por explicar estas limitaciones cuando solicitemos su información para que pueda tomar una decisión informada.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¿Cómo utilizamos su información?</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La información que recopilamos podemos utilizarla para los siguientes fines: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proporcionar productos y servicios que usted (o su empresa) solicitó y registrarlos o autenticarlos a usted o a su dispositivo;</w:t>
      </w:r>
    </w:p>
    <w:p w14:paraId="6B435A94" w14:textId="77777777" w:rsidR="009C452F" w:rsidRPr="000A192B" w:rsidRDefault="009C452F" w:rsidP="000C7673">
      <w:pPr>
        <w:pStyle w:val="2"/>
        <w:spacing w:after="0"/>
        <w:rPr>
          <w:rFonts w:ascii="Calibri" w:hAnsi="Calibri" w:cs="Calibri"/>
        </w:rPr>
      </w:pPr>
      <w:r>
        <w:rPr>
          <w:rFonts w:ascii="Calibri" w:hAnsi="Calibri"/>
        </w:rPr>
        <w:t>responder a sus preguntas o solicitudes de información;</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ofrecer productos y servicios mejores y más personalizados, que tengan en cuenta el historial de compras y el registro de servicios de su empresa y otra información pertinente;</w:t>
      </w:r>
    </w:p>
    <w:p w14:paraId="47067E53" w14:textId="77777777" w:rsidR="009C452F" w:rsidRPr="000A192B" w:rsidRDefault="009C452F" w:rsidP="000C7673">
      <w:pPr>
        <w:pStyle w:val="2"/>
        <w:spacing w:after="0"/>
        <w:rPr>
          <w:rFonts w:ascii="Calibri" w:hAnsi="Calibri" w:cs="Calibri"/>
        </w:rPr>
      </w:pPr>
      <w:r>
        <w:rPr>
          <w:rFonts w:ascii="Calibri" w:hAnsi="Calibri"/>
          <w:bCs/>
        </w:rPr>
        <w:t>si tenemos su consentimiento independiente cuando lo exija la legislación aplicable, informarle sobre nuevos productos y servicios;</w:t>
      </w:r>
    </w:p>
    <w:p w14:paraId="5F290606" w14:textId="77777777" w:rsidR="009C452F" w:rsidRPr="000A192B" w:rsidRDefault="009C452F" w:rsidP="000C7673">
      <w:pPr>
        <w:pStyle w:val="2"/>
        <w:spacing w:after="0"/>
        <w:rPr>
          <w:rFonts w:ascii="Calibri" w:hAnsi="Calibri" w:cs="Calibri"/>
        </w:rPr>
      </w:pPr>
      <w:r>
        <w:rPr>
          <w:rFonts w:ascii="Calibri" w:hAnsi="Calibri"/>
        </w:rPr>
        <w:t>evaluar y analizar nuestro mercado, nuestros clientes, nuestros productos y nuestros servicios (lo que incluye pedir su opinión sobre nuestros productos y servicios y realizar encuestas entre los clientes);</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comprender el modo en el que las empresas utilizan los Servicios empresariales, con el objetivo de que podamos mejorarlos y desarrollar nuevos productos y servicios;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lastRenderedPageBreak/>
        <w:t>prestar servicios de mantenimiento y mantener un nivel de seguridad suficiente en los Servicios empresariales;</w:t>
      </w:r>
    </w:p>
    <w:p w14:paraId="262D5098" w14:textId="77777777" w:rsidR="009C452F" w:rsidRPr="000A192B" w:rsidRDefault="009C452F" w:rsidP="000C7673">
      <w:pPr>
        <w:pStyle w:val="2"/>
        <w:spacing w:after="0"/>
        <w:rPr>
          <w:rFonts w:ascii="Calibri" w:hAnsi="Calibri" w:cs="Calibri"/>
        </w:rPr>
      </w:pPr>
      <w:r>
        <w:rPr>
          <w:rFonts w:ascii="Calibri" w:hAnsi="Calibri"/>
        </w:rPr>
        <w:t>proteger los derechos, la propiedad o la seguridad de Samsung o de cualquiera de sus filiales, socios comerciales, trabajadores o clientes, por ejemplo,</w:t>
      </w:r>
      <w:r>
        <w:rPr>
          <w:rFonts w:ascii="Calibri" w:hAnsi="Calibri"/>
          <w:bCs/>
        </w:rPr>
        <w:t xml:space="preserve"> en procedimientos judiciales, investigaciones internas e investigaciones de las autoridades competentes;</w:t>
      </w:r>
    </w:p>
    <w:p w14:paraId="3379AB11" w14:textId="2A4C2BCA" w:rsidR="009C452F" w:rsidRPr="000A192B" w:rsidRDefault="009C452F" w:rsidP="000C7673">
      <w:pPr>
        <w:pStyle w:val="2"/>
        <w:spacing w:after="0"/>
        <w:rPr>
          <w:rFonts w:ascii="Calibri" w:hAnsi="Calibri" w:cs="Calibri"/>
        </w:rPr>
      </w:pPr>
      <w:r>
        <w:rPr>
          <w:rFonts w:ascii="Calibri" w:hAnsi="Calibri"/>
        </w:rPr>
        <w:t>otros fines con su consentimiento independiente cuando lo exija la legislación aplicable o como se describa en el momento de recopilar su información;</w:t>
      </w:r>
    </w:p>
    <w:p w14:paraId="511FFAD1" w14:textId="6B0D6A3B" w:rsidR="00C30D47" w:rsidRPr="000A192B" w:rsidRDefault="00C30D47" w:rsidP="0060058B">
      <w:pPr>
        <w:pStyle w:val="2"/>
        <w:rPr>
          <w:rFonts w:ascii="Calibri" w:hAnsi="Calibri" w:cs="Calibri"/>
        </w:rPr>
      </w:pPr>
      <w:r>
        <w:rPr>
          <w:rFonts w:ascii="Calibri" w:hAnsi="Calibri"/>
        </w:rPr>
        <w:t>comunicarnos con usted en relación con las certificaciones de los Servicios empresariales y proporcionar notificaciones, contenido, alertas, ofertas, promociones, materiales de marketing y otras comunicaciones.</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Usamos y combinamos la información que recopilamos sobre usted en nuestros Servicios empresariales, los dispositivos u otras fuentes para proporcionarle una experiencia mejor. Por ejemplo, puede usar los datos de su Samsung Account no solo en los Servicios empresariales en los que se ha registrado, sino también en otros servicios que usen cuentas de Samsung. También usamos la información que proporciona de forma directa o mediante otras fuentes según lo descrito anteriormente para proporcionar contenido que pueda gustarle o que ha personalizado.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trata información personal para los fines descritos anteriormente. La base legal de Samsung para tratar información personal incluye el tratamiento: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para poder cumplir las promesas que le ha hecho, como prestarle el Servicio empresarial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(ejecución de un contrato (RGPD, artículo 6(1)(b));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para favorecer sus intereses empresariales (por ejemplo, gestionar sus relaciones con usted) (intereses legítimos (RGPD, artículo 6(1)(f));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para cumplir la ley, las obligaciones normativas y los procesos legales (RGPD, artículo 6(1)(c)); y</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con su consentimiento (RGPD, artículo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¿A quién revelamos su información?</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Revelaremos su información internamente en nuestra empresa y las entidades que se indican a continuación, pero solo con los fines anteriores.</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Filiales: otras empresas del grupo Samsung Electronics que controlemos o poseamos.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Proveedores de servicios: empresas cuidadosamente seleccionadas que nos presten servicios o presten servicios en nuestro nombre. Estos proveedores también se comprometen a proteger su información.</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Otras partes cuando lo exija la ley o cuando sea necesario para proteger nuestra empresa: por ejemplo, la ley, un proceso legal o una orden judicial pueden obligarnos a revelar su información. Las autoridades públicas también pueden solicitarnos su información por motivos de aplicación de la ley, seguridad nacional, antiterrorismo u otros asuntos relacionados con la seguridad pública.</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lastRenderedPageBreak/>
        <w:t>• Otras partes relacionadas con transacciones corporativas: podemos revelar su información a terceros durante una fusión, una transferencia, una adquisición o una venta o en caso de quiebra.</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Otras partes con su consentimiento o siguiendo instrucciones suyas: además de realizar las revelaciones descritas en esta Política de privacidad, podemos compartir información sobre usted con terceros cuando dé su consentimiento de forma independiente o cuando solicite que lo hagamos.</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Los demás usuarios de los Servicios empresariales pueden ver los envíos que realice a zonas públicas de un sitio web, una aplicación para dispositivos móviles u otro servicio en línea, como los tablones de anuncios. No controlamos la forma en la que los demás usuarios de los Servicios empresariales pueden utilizar esta información y no somos responsables de ello. Por ejemplo, pueden recopilar y utilizar información personal que envíe a zonas públicas para enviarle mensajes no solicitados o para otros fines.</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¿Qué hacemos para proteger su información?</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Nos tomamos en serio la protección de los datos. Aplicamos medidas de protección físicas y técnicas para garantizar la seguridad de la información que recopilamos. Sin embargo, debe tener en cuenta que, aunque tomamos medidas razonables para proteger su información, los sitios web, las transmisiones realizadas en Internet, los sistemas informáticos y las conexiones inalámbricas no son completamente seguros.</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¿Dónde enviamos sus datos?</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Su uso de los Servicios empresariales o su participación en ellos pueden implicar la transferencia, el almacenamiento y el tratamiento de su información fuera de su país de residencia, de acuerdo con esta política. Nos referimos a países como Corea del Sur y Estados Unidos, por ejemplo. </w:t>
      </w:r>
      <w:r>
        <w:rPr>
          <w:rFonts w:ascii="Calibri" w:hAnsi="Calibri"/>
        </w:rPr>
        <w:t>Tenga en cuenta que es posible que las leyes de protección de datos y otras leyes de los países a los que puede transferirse su información no sean tan exhaustivas como las de su país.</w:t>
      </w:r>
      <w:r>
        <w:rPr>
          <w:rFonts w:ascii="Calibri" w:hAnsi="Calibri"/>
          <w:bCs/>
        </w:rPr>
        <w:t xml:space="preserve"> Tomaremos las medidas adecuadas, de acuerdo con la legislación aplicable, para garantizar la protección de su información personal. Entre dichas medidas se incluye el uso de cláusulas contractuales tipo para proteger la transferencia de datos fuera del Espacio Económico Europeo (EEE) o el Reino Unido. Si desea más información sobre las medidas de protección que adoptamos para garantizar la legalidad de la transferencia de sus datos a países fuera de la UE o el Reino Unido, o si desea obtener una copia de los acuerdos contractuales existentes, póngase en contacto con nosotros utilizando cualquiera de los métodos indicados en la sección </w:t>
      </w:r>
      <w:r>
        <w:rPr>
          <w:rFonts w:ascii="Calibri" w:hAnsi="Calibri"/>
          <w:b/>
          <w:bCs/>
        </w:rPr>
        <w:t>Contacto</w:t>
      </w:r>
      <w:r>
        <w:rPr>
          <w:rFonts w:ascii="Calibri" w:hAnsi="Calibri"/>
          <w:bCs/>
        </w:rPr>
        <w:t xml:space="preserve"> de esta Política de privacidad.</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¿Cuáles son sus derechos?</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lastRenderedPageBreak/>
        <w:t xml:space="preserve">Su información personal le pertenece a usted. Puede pedirnos que le proporcionemos detalles sobre lo que hemos recopilado, y puede pedirnos que lo eliminemos o que corrijamos cualquier error. También puede pedirnos que restrinjamos o limitemos el tratamiento, el uso compartido o la transferencia de su información personal, y que le proporcionemos la información personal sobre usted que hemos recopilado para que pueda usarla para sus propios fines. Para ejercer sus derechos, póngase en contacto con nosotros usando cualquiera de los métodos indicados en la sección Contacto de esta Política de privacidad.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Sin embargo, debe tener en cuenta que solicitar la eliminación de su información personal puede hacerle perder el acceso a los Servicios empresariales.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solicita la eliminación de información personal, reconoce que es posible que no pueda acceder a los Servicios empresariales o utilizar los Servicios empresariales, y que puede quedar información personal residual en los registros y los archivos de Samsung durante algún tiempo, de acuerdo con la legislación aplicable, aunque Samsung no utilizará esa información con fines comerciales. Comprende que, a pesar de su solicitud de eliminación, Samsung se reserva el derecho a conservar su información personal, o una parte importante de ella, de acuerdo con su política de retención de datos y las leyes aplicables, si Samsung ha suspendido, limitado o cancelado su acceso al sitio web por incumplir los Términos de uso de Samsung, cualquier otra política aplicable de Samsung o la legislación vigente, si es necesario para </w:t>
      </w:r>
      <w:r>
        <w:rPr>
          <w:rFonts w:ascii="Calibri" w:hAnsi="Calibri"/>
          <w:sz w:val="24"/>
          <w:szCs w:val="24"/>
        </w:rPr>
        <w:t>proteger los derechos, la propiedad o la seguridad de Samsung o de cualquiera de sus filiales, socios comerciales, empleados o clientes</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¿Cuánto tiempo conservamos su información?</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No conservaremos su información personal más tiempo del necesario para alcanzar el fin que llevó a su recopilación. Esto significa que la información se destruirá o borrará de nuestros sistemas cuando deje de ser necesaria.</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Adoptamos medidas adecuadas para garantizar que tratemos y conservemos la información sobre usted en función de la siguiente lógica:</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Como mínimo durante el tiempo en el que se utilice la información para prestarle un servicio.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Según exijan la legislación, una obligación normativa, un contrato o nuestras obligaciones legales.</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Solo mientras sea necesario para el fin con el que se recopiló o se trata, o durante más tiempo si lo exigen un contrato o la legislación aplicable o con fines estadísticos, con las medidas de protección adecuadas.</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lastRenderedPageBreak/>
        <w:t>¿Qué servicios de terceros usamos?</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Nuestros Servicios empresariales pueden contener vínculos a sitios web y servicios de terceros que no controlamos. No somos responsables de la seguridad ni de la privacidad de la información recopilada por sitios web u otros servicios. Debe actuar con precaución y consultar las declaraciones de privacidad aplicables a los sitios web y servicios de terceros que utilice.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Nuestro sitio web usa cookies para distinguir cuándo se trata de usted y cuándo de otros usuarios de nuestro sitio web. Esto nos ayuda a proporcionarle una buena experiencia cuando navega por nuestro sitio web y nos permite mejorar nuestro sitio.</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Una cookie es un pequeño archivo de letras y números que almacenamos en su navegador o en el disco duro de su ordenador si lo acepta. Las cookies contienen información que se transfiere al disco duro de su ordenador.</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Usamos las siguientes cookies:</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estrictamente necesarias.</w:t>
      </w:r>
      <w:r>
        <w:rPr>
          <w:rFonts w:ascii="Calibri" w:hAnsi="Calibri"/>
          <w:color w:val="000000"/>
          <w:sz w:val="24"/>
          <w:szCs w:val="24"/>
        </w:rPr>
        <w:t xml:space="preserve"> Estas cookies son necesarias para el funcionamiento de nuestro sitio web. Entre ellas se incluyen, por ejemplo, las cookies que le permiten iniciar sesión en zonas seguras de nuestro sitio web.</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análisis o rendimiento.</w:t>
      </w:r>
      <w:r>
        <w:rPr>
          <w:rFonts w:ascii="Calibri" w:hAnsi="Calibri"/>
          <w:color w:val="000000"/>
          <w:sz w:val="24"/>
          <w:szCs w:val="24"/>
        </w:rPr>
        <w:t xml:space="preserve"> Estas nos permiten reconocer y contar el número de visitantes y ver cómo se mueven los visitantes en nuestro sitio web cuando lo usan. Esto nos ayuda a mejorar el funcionamiento de nuestro sitio web, por ejemplo, garantizando que los usuarios encuentren fácilmente lo que buscan.</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funcionalidad.</w:t>
      </w:r>
      <w:r>
        <w:rPr>
          <w:rFonts w:ascii="Calibri" w:hAnsi="Calibri"/>
          <w:color w:val="000000"/>
          <w:sz w:val="24"/>
          <w:szCs w:val="24"/>
        </w:rPr>
        <w:t xml:space="preserve"> Estas se usan para reconocer cuándo vuelve a nuestro sitio web. Esto nos permite personalizar su contenido para usted, enviarle un saludo usando su nombre y recordar sus preferencias (por ejemplo, su selección de idioma o región).</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segmentación.</w:t>
      </w:r>
      <w:r>
        <w:rPr>
          <w:rFonts w:ascii="Calibri" w:hAnsi="Calibri"/>
          <w:color w:val="000000"/>
          <w:sz w:val="24"/>
          <w:szCs w:val="24"/>
        </w:rPr>
        <w:t xml:space="preserve"> Estas cookies registran su visita a nuestro sitio web, las páginas que ha visitado y los vínculos que ha seguido. Usaremos esta información para hacer nuestro sitio web y la publicidad mostrada en él más pertinentes para sus intereses.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Puede obtener más información sobre cada cookie que usamos y los propósitos con los que la usamos en la siguiente tabla:</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Nombre de la cookie</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Propósito</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Más información</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Preferencias de usuario en la aplicación Learning.</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Tipo de cookie: persistente (24 horas)</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lastRenderedPageBreak/>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lastRenderedPageBreak/>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Preferencias de reproductor de curso y aspecto para el usuario.</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Tipo de cookie: de sesión</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Usada para autorizar solicitudes. La carga útil contiene los claims indicados a continuación. El token está cifrado con el algoritmo HMAC-SHA256 y a continuación se muestra su aspecto durante el transporte (el texto resaltado en amarillo es la descripción que he añadido para la representación).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Tipo de cookie: de sesión</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Detalles de la carga útil: </w:t>
            </w:r>
          </w:p>
          <w:p w14:paraId="47B204E2" w14:textId="77777777" w:rsidR="00FC267D" w:rsidRPr="00F15D08" w:rsidRDefault="00FC267D" w:rsidP="00005CF4">
            <w:pPr>
              <w:pStyle w:val="Default"/>
              <w:jc w:val="both"/>
              <w:rPr>
                <w:sz w:val="20"/>
                <w:szCs w:val="20"/>
              </w:rPr>
            </w:pPr>
            <w:r>
              <w:rPr>
                <w:sz w:val="20"/>
                <w:szCs w:val="20"/>
              </w:rPr>
              <w:t xml:space="preserve">Issuer (aplicación de SumTotal que ha emitido el token. Ejemplo: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Asunto (nombre de usuario del usuario para el que se solicita el token) </w:t>
            </w:r>
          </w:p>
          <w:p w14:paraId="1E9C47C2" w14:textId="77777777" w:rsidR="00FC267D" w:rsidRPr="00F15D08" w:rsidRDefault="00FC267D" w:rsidP="00005CF4">
            <w:pPr>
              <w:pStyle w:val="Default"/>
              <w:jc w:val="both"/>
              <w:rPr>
                <w:sz w:val="20"/>
                <w:szCs w:val="20"/>
              </w:rPr>
            </w:pPr>
            <w:r>
              <w:rPr>
                <w:sz w:val="20"/>
                <w:szCs w:val="20"/>
              </w:rPr>
              <w:t xml:space="preserve">Destinatario (para quién es el token. Ejemplo: clave de inquilino) </w:t>
            </w:r>
          </w:p>
          <w:p w14:paraId="6C79A8A1" w14:textId="77777777" w:rsidR="00FC267D" w:rsidRPr="00F15D08" w:rsidRDefault="00FC267D" w:rsidP="00005CF4">
            <w:pPr>
              <w:pStyle w:val="Default"/>
              <w:jc w:val="both"/>
              <w:rPr>
                <w:sz w:val="20"/>
                <w:szCs w:val="20"/>
              </w:rPr>
            </w:pPr>
            <w:r>
              <w:rPr>
                <w:sz w:val="20"/>
                <w:szCs w:val="20"/>
              </w:rPr>
              <w:t xml:space="preserve">Expiry (fecha de caducidad) </w:t>
            </w:r>
          </w:p>
          <w:p w14:paraId="12470973" w14:textId="77777777" w:rsidR="00FC267D" w:rsidRPr="00F15D08" w:rsidRDefault="00FC267D" w:rsidP="00005CF4">
            <w:pPr>
              <w:pStyle w:val="Default"/>
              <w:jc w:val="both"/>
              <w:rPr>
                <w:sz w:val="20"/>
                <w:szCs w:val="20"/>
              </w:rPr>
            </w:pPr>
            <w:r>
              <w:rPr>
                <w:sz w:val="20"/>
                <w:szCs w:val="20"/>
              </w:rPr>
              <w:t xml:space="preserve">No válido antes de (no corresponde) </w:t>
            </w:r>
          </w:p>
          <w:p w14:paraId="4A42360D" w14:textId="77777777" w:rsidR="00FC267D" w:rsidRPr="00F15D08" w:rsidRDefault="00FC267D" w:rsidP="00005CF4">
            <w:pPr>
              <w:pStyle w:val="Default"/>
              <w:jc w:val="both"/>
              <w:rPr>
                <w:sz w:val="20"/>
                <w:szCs w:val="20"/>
              </w:rPr>
            </w:pPr>
            <w:r>
              <w:rPr>
                <w:sz w:val="20"/>
                <w:szCs w:val="20"/>
              </w:rPr>
              <w:t xml:space="preserve">Emitido a las (hora de emisión del token) </w:t>
            </w:r>
          </w:p>
          <w:p w14:paraId="6920702E" w14:textId="77777777" w:rsidR="00FC267D" w:rsidRPr="00F15D08" w:rsidRDefault="00FC267D" w:rsidP="00005CF4">
            <w:pPr>
              <w:pStyle w:val="Default"/>
              <w:jc w:val="both"/>
              <w:rPr>
                <w:sz w:val="20"/>
                <w:szCs w:val="20"/>
              </w:rPr>
            </w:pPr>
            <w:r>
              <w:rPr>
                <w:sz w:val="20"/>
                <w:szCs w:val="20"/>
              </w:rPr>
              <w:t xml:space="preserve">ID de sesión de agente de SSO </w:t>
            </w:r>
          </w:p>
          <w:p w14:paraId="1C7C7E4A" w14:textId="77777777" w:rsidR="00FC267D" w:rsidRPr="00F15D08" w:rsidRDefault="00FC267D" w:rsidP="00005CF4">
            <w:pPr>
              <w:pStyle w:val="Default"/>
              <w:jc w:val="both"/>
              <w:rPr>
                <w:sz w:val="20"/>
                <w:szCs w:val="20"/>
              </w:rPr>
            </w:pPr>
            <w:r>
              <w:rPr>
                <w:sz w:val="20"/>
                <w:szCs w:val="20"/>
              </w:rPr>
              <w:t xml:space="preserve">UserId del usuario que emula el sujeto (aplicable solo en modo de emulación) </w:t>
            </w:r>
          </w:p>
          <w:p w14:paraId="6F058DBC" w14:textId="77777777" w:rsidR="00FC267D" w:rsidRPr="00F15D08" w:rsidRDefault="00FC267D" w:rsidP="00005CF4">
            <w:pPr>
              <w:pStyle w:val="Default"/>
              <w:jc w:val="both"/>
              <w:rPr>
                <w:sz w:val="20"/>
                <w:szCs w:val="20"/>
              </w:rPr>
            </w:pPr>
            <w:r>
              <w:rPr>
                <w:sz w:val="20"/>
                <w:szCs w:val="20"/>
              </w:rPr>
              <w:t xml:space="preserve">UserName del usuario que emula el sujeto (aplicable solo en modo de emulación) </w:t>
            </w:r>
          </w:p>
          <w:p w14:paraId="431B4F9F" w14:textId="77777777" w:rsidR="00FC267D" w:rsidRPr="00F15D08" w:rsidRDefault="00FC267D" w:rsidP="00005CF4">
            <w:pPr>
              <w:pStyle w:val="Default"/>
              <w:jc w:val="both"/>
              <w:rPr>
                <w:sz w:val="20"/>
                <w:szCs w:val="20"/>
              </w:rPr>
            </w:pPr>
            <w:r>
              <w:rPr>
                <w:sz w:val="20"/>
                <w:szCs w:val="20"/>
              </w:rPr>
              <w:t xml:space="preserve">Cultura del sujeto </w:t>
            </w:r>
          </w:p>
          <w:p w14:paraId="09CA5703" w14:textId="77777777" w:rsidR="00FC267D" w:rsidRPr="00F15D08" w:rsidRDefault="00FC267D" w:rsidP="00005CF4">
            <w:pPr>
              <w:pStyle w:val="Default"/>
              <w:jc w:val="both"/>
              <w:rPr>
                <w:sz w:val="20"/>
                <w:szCs w:val="20"/>
              </w:rPr>
            </w:pPr>
            <w:r>
              <w:rPr>
                <w:sz w:val="20"/>
                <w:szCs w:val="20"/>
              </w:rPr>
              <w:t xml:space="preserve">UserId del sujeto </w:t>
            </w:r>
          </w:p>
          <w:p w14:paraId="3278D62C" w14:textId="77777777" w:rsidR="00FC267D" w:rsidRPr="00F15D08" w:rsidRDefault="00FC267D" w:rsidP="00005CF4">
            <w:pPr>
              <w:pStyle w:val="Default"/>
              <w:jc w:val="both"/>
              <w:rPr>
                <w:sz w:val="20"/>
                <w:szCs w:val="20"/>
              </w:rPr>
            </w:pPr>
            <w:r>
              <w:rPr>
                <w:sz w:val="20"/>
                <w:szCs w:val="20"/>
              </w:rPr>
              <w:t xml:space="preserve">Indicador de cuenta de invitado para el sujeto </w:t>
            </w:r>
          </w:p>
          <w:p w14:paraId="60BD25C8" w14:textId="77777777" w:rsidR="00FC267D" w:rsidRPr="00F15D08" w:rsidRDefault="00FC267D" w:rsidP="00005CF4">
            <w:pPr>
              <w:pStyle w:val="Default"/>
              <w:jc w:val="both"/>
              <w:rPr>
                <w:sz w:val="20"/>
                <w:szCs w:val="20"/>
              </w:rPr>
            </w:pPr>
            <w:r>
              <w:rPr>
                <w:sz w:val="20"/>
                <w:szCs w:val="20"/>
              </w:rPr>
              <w:t xml:space="preserve">PersonId del sujeto </w:t>
            </w:r>
          </w:p>
          <w:p w14:paraId="535F54A7" w14:textId="77777777" w:rsidR="00FC267D" w:rsidRPr="00F15D08" w:rsidRDefault="00FC267D" w:rsidP="00005CF4">
            <w:pPr>
              <w:pStyle w:val="Default"/>
              <w:jc w:val="both"/>
              <w:rPr>
                <w:sz w:val="20"/>
                <w:szCs w:val="20"/>
              </w:rPr>
            </w:pPr>
            <w:r>
              <w:rPr>
                <w:sz w:val="20"/>
                <w:szCs w:val="20"/>
              </w:rPr>
              <w:t xml:space="preserve">Indicador externo del sujeto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Clave de relying party (ejemplo: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No compartimos con ningún tercero la información recopilada por las cookies.</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Puede bloquear las cookies activando los ajustes de su navegador que le permiten rechazar el almacenamiento de todas o las cookies o de algunas de ellas. Sin embargo, si usa los ajustes de su navegador para bloquear todas las cookies (incluidas las cookies esenciales), es posible que no pueda acceder a nuestro sitio web o a algunas partes de él.</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Salvo las cookies esenciales, todas las cookies caducarán una vez alcanzado el propósito de la </w:t>
      </w:r>
      <w:r>
        <w:rPr>
          <w:rFonts w:ascii="Calibri" w:hAnsi="Calibri"/>
          <w:color w:val="000000"/>
          <w:sz w:val="24"/>
          <w:szCs w:val="24"/>
        </w:rPr>
        <w:lastRenderedPageBreak/>
        <w:t xml:space="preserve">recopilación.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Sus opciones</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Le ofrecemos determinadas opciones en relación con la información personal sobre usted que obtenemos.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Los Servicios empresariales pueden ofrecer opciones relacionadas con la recopilación, la eliminación y el uso compartido de determinada información relacionada con dichos Servicios empresariales. Si</w:t>
      </w:r>
      <w:r>
        <w:rPr>
          <w:rFonts w:ascii="Calibri" w:hAnsi="Calibri"/>
          <w:bCs/>
          <w:sz w:val="24"/>
          <w:szCs w:val="24"/>
        </w:rPr>
        <w:t xml:space="preserve"> no permite que los Servicios empresariales recopilen, almacenen o compartan determinada información, es posible que no pueda usar todas las funciones disponibles en los Servicios empresariales.</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Para ejercer sus opciones, póngase en contacto con nosotros como se indica en la sección </w:t>
      </w:r>
      <w:r>
        <w:rPr>
          <w:rFonts w:ascii="Calibri" w:hAnsi="Calibri"/>
          <w:b/>
          <w:bCs/>
          <w:sz w:val="24"/>
          <w:szCs w:val="24"/>
        </w:rPr>
        <w:t>Contacto</w:t>
      </w:r>
      <w:r>
        <w:rPr>
          <w:rFonts w:ascii="Calibri" w:hAnsi="Calibri"/>
          <w:bCs/>
          <w:sz w:val="24"/>
          <w:szCs w:val="24"/>
        </w:rPr>
        <w:t xml:space="preserve"> de esta Política de privacidad.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Contacto</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Puede ponerse en contacto con nosotros para actualizar sus preferencias, ejercer sus derechos, enviar una solicitud o hacernos preguntas.</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Puede ponerse en contacto con nosotros en:</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Responsable del tratamiento</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Corea del Sur</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Samsung Electronics tiene oficinas por toda Europa, por lo que puede garantizar que el equipo de protección de datos de su región atenderá su solicitud o su consulta.</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La forma más sencilla de ponerse en contacto con nosotros es usar nuestra página Soporte de Privacidad,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También puede ponerse en contacto con nosotros en:</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European Data Protection Officer</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Puede presentar una reclamación ante la autoridad supervisora correspondiente si considera que nuestro tratamiento de su información personal infringe la legislación aplicable. Puede consultar los datos de contacto de todas las autoridades supervisoras de la UE en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DD3829" w14:textId="77777777" w:rsidR="006A6029" w:rsidRDefault="006A6029" w:rsidP="009C452F">
      <w:r>
        <w:separator/>
      </w:r>
    </w:p>
  </w:endnote>
  <w:endnote w:type="continuationSeparator" w:id="0">
    <w:p w14:paraId="017E1CEF" w14:textId="77777777" w:rsidR="006A6029" w:rsidRDefault="006A6029"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6F830D" w14:textId="77777777" w:rsidR="006A6029" w:rsidRDefault="006A6029" w:rsidP="009C452F">
      <w:r>
        <w:separator/>
      </w:r>
    </w:p>
  </w:footnote>
  <w:footnote w:type="continuationSeparator" w:id="0">
    <w:p w14:paraId="704E179B" w14:textId="77777777" w:rsidR="006A6029" w:rsidRDefault="006A6029"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Plantilla </w:t>
    </w:r>
    <w:r>
      <w:t>de Política de privacidad de 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A602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061A"/>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E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90A09E-32B3-468E-8217-DEF9F3FC3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3022</Words>
  <Characters>17227</Characters>
  <Application>Microsoft Office Word</Application>
  <DocSecurity>0</DocSecurity>
  <Lines>143</Lines>
  <Paragraphs>40</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20209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2025-01-22T07:29:00Z</dcterms:created>
  <dcterms:modified xsi:type="dcterms:W3CDTF">2025-01-22T07:29:00Z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