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I</m:t>
          </m:r>
          <m:r>
            <m:rPr>
              <m:sty m:val="p"/>
            </m:rPr>
            <m:t>d</m:t>
          </m:r>
          <m:r>
            <m:rPr>
              <m:sty m:val="p"/>
            </m:rPr>
            <m:t>+</m:t>
          </m:r>
          <m:r>
            <m:t>κ</m:t>
          </m:r>
          <m:sSub>
            <m:e>
              <m:r>
                <m:t>τ</m:t>
              </m:r>
            </m:e>
            <m:sub>
              <m:r>
                <m:t>0</m:t>
              </m:r>
            </m:sub>
          </m:sSub>
          <m:r>
            <m:t>M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/</m:t>
          </m:r>
          <m:sSub>
            <m:e>
              <m:r>
                <m:t>N</m:t>
              </m:r>
            </m:e>
            <m:sub>
              <m:r>
                <m:t>i</m:t>
              </m:r>
            </m:sub>
          </m:sSub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2026-10-20T17:05:26Z</dcterms:created>
  <dcterms:modified xsi:type="dcterms:W3CDTF">2026-10-20T17:05:26Z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