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『2026 동남권 멀티도메인 모빌리티 비즈니스 해커톤』</w:t>
      </w:r>
    </w:p>
    <w:p>
      <w:pPr>
        <w:jc w:val="center"/>
      </w:pPr>
      <w:r>
        <w:rPr>
          <w:b/>
          <w:sz w:val="28"/>
        </w:rPr>
        <w:t>참가 신청서 [개인 부문 / 예선]</w:t>
      </w:r>
    </w:p>
    <w:tbl>
      <w:tblPr>
        <w:tblStyle w:val="TableGrid"/>
        <w:tblW w:type="auto" w:w="0"/>
        <w:jc w:val="center"/>
        <w:tblLayout w:type="fixed"/>
        <w:tblLook w:firstColumn="1" w:firstRow="1" w:lastColumn="0" w:lastRow="0" w:noHBand="0" w:noVBand="1" w:val="04A0"/>
      </w:tblPr>
      <w:tblGrid>
        <w:gridCol w:w="1757"/>
        <w:gridCol w:w="8220"/>
      </w:tblGrid>
      <w:tr>
        <w:trPr>
          <w:cantSplit/>
          <w:trHeight w:val="397"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1. 신청 정보</w:t>
            </w:r>
          </w:p>
        </w:tc>
        <w:tc>
          <w:tcPr>
            <w:tcW w:type="dxa" w:w="8220"/>
            <w:vAlign w:val="center"/>
            <w:tcMar>
              <w:top w:w="75" w:type="dxa"/>
              <w:left w:w="75" w:type="dxa"/>
              <w:bottom w:w="75" w:type="dxa"/>
              <w:right w:w="75" w:type="dxa"/>
            </w:tcMar>
          </w:tcPr>
          <w:p>
            <w:pPr>
              <w:spacing w:before="0" w:after="40" w:line="274" w:lineRule="auto"/>
            </w:pPr>
            <w:r>
              <w:rPr>
                <w:b w:val="0"/>
                <w:sz w:val="18"/>
              </w:rPr>
              <w:t xml:space="preserve">접수번호  </w:t>
            </w:r>
          </w:p>
        </w:tc>
      </w:tr>
      <w:tr>
        <w:trPr>
          <w:cantSplit/>
          <w:trHeight w:val="454"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팀명</w:t>
            </w:r>
          </w:p>
        </w:tc>
        <w:tc>
          <w:tcPr>
            <w:tcW w:type="dxa" w:w="8220"/>
            <w:vAlign w:val="center"/>
            <w:tcMar>
              <w:top w:w="75" w:type="dxa"/>
              <w:left w:w="75" w:type="dxa"/>
              <w:bottom w:w="75" w:type="dxa"/>
              <w:right w:w="75" w:type="dxa"/>
            </w:tcMar>
          </w:tcPr>
          <w:p>
            <w:pPr>
              <w:spacing w:before="0" w:after="40" w:line="274" w:lineRule="auto"/>
            </w:pPr>
            <w:r>
              <w:rPr>
                <w:b w:val="0"/>
                <w:sz w:val="18"/>
              </w:rPr>
              <w:t>R-Delay</w:t>
            </w:r>
          </w:p>
        </w:tc>
      </w:tr>
      <w:tr>
        <w:trPr>
          <w:cantSplit/>
          <w:trHeight w:val="737"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제안 작품명</w:t>
            </w:r>
          </w:p>
        </w:tc>
        <w:tc>
          <w:tcPr>
            <w:tcW w:type="dxa" w:w="8220"/>
            <w:vAlign w:val="center"/>
            <w:tcMar>
              <w:top w:w="75" w:type="dxa"/>
              <w:left w:w="75" w:type="dxa"/>
              <w:bottom w:w="75" w:type="dxa"/>
              <w:right w:w="75" w:type="dxa"/>
            </w:tcMar>
          </w:tcPr>
          <w:p>
            <w:pPr>
              <w:spacing w:before="0" w:after="40" w:line="274" w:lineRule="auto"/>
            </w:pPr>
            <w:r>
              <w:rPr>
                <w:b w:val="0"/>
                <w:sz w:val="18"/>
              </w:rPr>
              <w:t>R-Delay: 감염병 확산 수리모델 기반 해상·육상 지연 예측·대응 웹서비스</w:t>
            </w:r>
          </w:p>
        </w:tc>
      </w:tr>
      <w:tr>
        <w:trPr>
          <w:cantSplit/>
          <w:trHeight w:val="680"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핵심키워드</w:t>
            </w:r>
          </w:p>
        </w:tc>
        <w:tc>
          <w:tcPr>
            <w:tcW w:type="dxa" w:w="8220"/>
            <w:vAlign w:val="center"/>
            <w:tcMar>
              <w:top w:w="75" w:type="dxa"/>
              <w:left w:w="75" w:type="dxa"/>
              <w:bottom w:w="75" w:type="dxa"/>
              <w:right w:w="75" w:type="dxa"/>
            </w:tcMar>
          </w:tcPr>
          <w:p>
            <w:pPr>
              <w:spacing w:before="0" w:after="40" w:line="274" w:lineRule="auto"/>
            </w:pPr>
            <w:r>
              <w:rPr>
                <w:b w:val="0"/>
                <w:sz w:val="18"/>
              </w:rPr>
              <w:t>SIS 수리모델, 로그-OU·입자필터, 해상·육상 융합, 시간가변 대기모형, 배차 의사결정</w:t>
            </w:r>
          </w:p>
        </w:tc>
      </w:tr>
      <w:tr>
        <w:trPr>
          <w:cantSplit/>
          <w:trHeight w:val="794"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관련 모빌리티 도메인</w:t>
            </w:r>
          </w:p>
        </w:tc>
        <w:tc>
          <w:tcPr>
            <w:tcW w:type="dxa" w:w="8220"/>
            <w:vAlign w:val="center"/>
            <w:tcMar>
              <w:top w:w="75" w:type="dxa"/>
              <w:left w:w="75" w:type="dxa"/>
              <w:bottom w:w="75" w:type="dxa"/>
              <w:right w:w="75" w:type="dxa"/>
            </w:tcMar>
          </w:tcPr>
          <w:p>
            <w:pPr>
              <w:spacing w:before="0" w:after="40" w:line="274" w:lineRule="auto"/>
            </w:pPr>
            <w:r>
              <w:rPr>
                <w:b w:val="0"/>
                <w:sz w:val="18"/>
              </w:rPr>
              <w:t>융합 대상: ☑ 육상   ☑ 해상   □ 항공</w:t>
              <w:br/>
              <w:t>주 도메인: 해상 ◎</w:t>
            </w:r>
          </w:p>
        </w:tc>
      </w:tr>
      <w:tr>
        <w:trPr>
          <w:cantSplit/>
          <w:trHeight w:val="1644"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제안작품 요약</w:t>
            </w:r>
          </w:p>
        </w:tc>
        <w:tc>
          <w:tcPr>
            <w:tcW w:type="dxa" w:w="8220"/>
            <w:vAlign w:val="center"/>
            <w:tcMar>
              <w:top w:w="75" w:type="dxa"/>
              <w:left w:w="75" w:type="dxa"/>
              <w:bottom w:w="75" w:type="dxa"/>
              <w:right w:w="75" w:type="dxa"/>
            </w:tcMar>
          </w:tcPr>
          <w:p>
            <w:pPr>
              <w:spacing w:before="0" w:after="40" w:line="274" w:lineRule="auto"/>
            </w:pPr>
            <w:r>
              <w:rPr>
                <w:b w:val="0"/>
                <w:sz w:val="18"/>
              </w:rPr>
              <w:t>해상·육상 지연을 SIS 미분방정식으로 연결하고 로그-OU·입자필터로 변동과 관측을 반영하는 웹서비스를 제안한다. 선석 대기·화물 준비·반출을 구분해 원래 마감 위험과 실행 가능한 배차안을 비교한다. 실자료가 없는 부분은 합성 시나리오로 표시한다.</w:t>
            </w:r>
          </w:p>
        </w:tc>
      </w:tr>
      <w:tr>
        <w:trPr>
          <w:cantSplit/>
          <w:trHeight w:val="1701" w:hRule="atLeast"/>
        </w:trPr>
        <w:tc>
          <w:tcPr>
            <w:tcW w:type="dxa" w:w="1757"/>
            <w:vAlign w:val="center"/>
            <w:tcMar>
              <w:top w:w="75" w:type="dxa"/>
              <w:left w:w="75" w:type="dxa"/>
              <w:bottom w:w="75" w:type="dxa"/>
              <w:right w:w="75" w:type="dxa"/>
            </w:tcMar>
            <w:shd w:fill="EDF3F7"/>
          </w:tcPr>
          <w:p>
            <w:pPr>
              <w:spacing w:before="0" w:after="40" w:line="274" w:lineRule="auto"/>
            </w:pPr>
            <w:r>
              <w:rPr>
                <w:b/>
                <w:sz w:val="18"/>
              </w:rPr>
              <w:t>지원동기</w:t>
            </w:r>
          </w:p>
        </w:tc>
        <w:tc>
          <w:tcPr>
            <w:tcW w:type="dxa" w:w="8220"/>
            <w:vAlign w:val="center"/>
            <w:tcMar>
              <w:top w:w="75" w:type="dxa"/>
              <w:left w:w="75" w:type="dxa"/>
              <w:bottom w:w="75" w:type="dxa"/>
              <w:right w:w="75" w:type="dxa"/>
            </w:tcMar>
          </w:tcPr>
          <w:p>
            <w:pPr>
              <w:spacing w:before="0" w:after="40" w:line="274" w:lineRule="auto"/>
            </w:pPr>
            <w:r>
              <w:rPr>
                <w:b w:val="0"/>
                <w:sz w:val="18"/>
              </w:rPr>
              <w:t>감염병 확산의 전파·회복 구조를 해상·육상 운송의 일정 문제에 적용하고자 지원한다. 공개 운영자료로 문제를 구체화하고, 수리모델·관측 갱신·대기 계산을 웹 의사결정으로 연결한다. 대회에서 모델과 사용자 흐름을 함께 검증하고 데이터 확보·사업화 가설을 구체화하고자 한다.</w:t>
            </w:r>
          </w:p>
        </w:tc>
      </w:tr>
    </w:tbl>
    <w:p>
      <w:pPr>
        <w:spacing w:after="0"/>
      </w:pPr>
    </w:p>
    <w:p>
      <w:r>
        <w:rPr>
          <w:b/>
          <w:sz w:val="20"/>
        </w:rPr>
        <w:t>2. 팀 구성원 정보</w:t>
      </w:r>
    </w:p>
    <w:tbl>
      <w:tblPr>
        <w:tblStyle w:val="TableGrid"/>
        <w:tblW w:type="auto" w:w="0"/>
        <w:jc w:val="center"/>
        <w:tblLayout w:type="fixed"/>
        <w:tblLook w:firstColumn="1" w:firstRow="1" w:lastColumn="0" w:lastRow="0" w:noHBand="0" w:noVBand="1" w:val="04A0"/>
      </w:tblPr>
      <w:tblGrid>
        <w:gridCol w:w="850"/>
        <w:gridCol w:w="1077"/>
        <w:gridCol w:w="1077"/>
        <w:gridCol w:w="2438"/>
        <w:gridCol w:w="680"/>
        <w:gridCol w:w="1587"/>
        <w:gridCol w:w="2268"/>
      </w:tblGrid>
      <w:tr>
        <w:trPr>
          <w:cantSplit/>
          <w:trHeight w:val="510" w:hRule="atLeast"/>
          <w:tblHeader/>
        </w:trPr>
        <w:tc>
          <w:tcPr>
            <w:tcW w:type="dxa" w:w="850"/>
            <w:vAlign w:val="center"/>
            <w:tcMar>
              <w:top w:w="75" w:type="dxa"/>
              <w:left w:w="75" w:type="dxa"/>
              <w:bottom w:w="75" w:type="dxa"/>
              <w:right w:w="75" w:type="dxa"/>
            </w:tcMar>
            <w:shd w:fill="EDF3F7"/>
          </w:tcPr>
          <w:p>
            <w:pPr>
              <w:spacing w:before="0" w:after="40" w:line="274" w:lineRule="auto"/>
            </w:pPr>
            <w:r>
              <w:rPr>
                <w:b/>
                <w:sz w:val="16"/>
              </w:rPr>
              <w:t>구분</w:t>
            </w:r>
          </w:p>
        </w:tc>
        <w:tc>
          <w:tcPr>
            <w:tcW w:type="dxa" w:w="1077"/>
            <w:vAlign w:val="center"/>
            <w:tcMar>
              <w:top w:w="75" w:type="dxa"/>
              <w:left w:w="75" w:type="dxa"/>
              <w:bottom w:w="75" w:type="dxa"/>
              <w:right w:w="75" w:type="dxa"/>
            </w:tcMar>
            <w:shd w:fill="EDF3F7"/>
          </w:tcPr>
          <w:p>
            <w:pPr>
              <w:spacing w:before="0" w:after="40" w:line="274" w:lineRule="auto"/>
            </w:pPr>
            <w:r>
              <w:rPr>
                <w:b/>
                <w:sz w:val="16"/>
              </w:rPr>
              <w:t>성명</w:t>
            </w:r>
          </w:p>
        </w:tc>
        <w:tc>
          <w:tcPr>
            <w:tcW w:type="dxa" w:w="1077"/>
            <w:vAlign w:val="center"/>
            <w:tcMar>
              <w:top w:w="75" w:type="dxa"/>
              <w:left w:w="75" w:type="dxa"/>
              <w:bottom w:w="75" w:type="dxa"/>
              <w:right w:w="75" w:type="dxa"/>
            </w:tcMar>
            <w:shd w:fill="EDF3F7"/>
          </w:tcPr>
          <w:p>
            <w:pPr>
              <w:spacing w:before="0" w:after="40" w:line="274" w:lineRule="auto"/>
            </w:pPr>
            <w:r>
              <w:rPr>
                <w:b/>
                <w:sz w:val="16"/>
              </w:rPr>
              <w:t>출생연도</w:t>
            </w:r>
          </w:p>
        </w:tc>
        <w:tc>
          <w:tcPr>
            <w:tcW w:type="dxa" w:w="2438"/>
            <w:vAlign w:val="center"/>
            <w:tcMar>
              <w:top w:w="75" w:type="dxa"/>
              <w:left w:w="75" w:type="dxa"/>
              <w:bottom w:w="75" w:type="dxa"/>
              <w:right w:w="75" w:type="dxa"/>
            </w:tcMar>
            <w:shd w:fill="EDF3F7"/>
          </w:tcPr>
          <w:p>
            <w:pPr>
              <w:spacing w:before="0" w:after="40" w:line="274" w:lineRule="auto"/>
            </w:pPr>
            <w:r>
              <w:rPr>
                <w:b/>
                <w:sz w:val="16"/>
              </w:rPr>
              <w:t>소속대학/전공학과</w:t>
            </w:r>
          </w:p>
        </w:tc>
        <w:tc>
          <w:tcPr>
            <w:tcW w:type="dxa" w:w="680"/>
            <w:vAlign w:val="center"/>
            <w:tcMar>
              <w:top w:w="75" w:type="dxa"/>
              <w:left w:w="75" w:type="dxa"/>
              <w:bottom w:w="75" w:type="dxa"/>
              <w:right w:w="75" w:type="dxa"/>
            </w:tcMar>
            <w:shd w:fill="EDF3F7"/>
          </w:tcPr>
          <w:p>
            <w:pPr>
              <w:spacing w:before="0" w:after="40" w:line="274" w:lineRule="auto"/>
            </w:pPr>
            <w:r>
              <w:rPr>
                <w:b/>
                <w:sz w:val="16"/>
              </w:rPr>
              <w:t>학년</w:t>
            </w:r>
          </w:p>
        </w:tc>
        <w:tc>
          <w:tcPr>
            <w:tcW w:type="dxa" w:w="1587"/>
            <w:vAlign w:val="center"/>
            <w:tcMar>
              <w:top w:w="75" w:type="dxa"/>
              <w:left w:w="75" w:type="dxa"/>
              <w:bottom w:w="75" w:type="dxa"/>
              <w:right w:w="75" w:type="dxa"/>
            </w:tcMar>
            <w:shd w:fill="EDF3F7"/>
          </w:tcPr>
          <w:p>
            <w:pPr>
              <w:spacing w:before="0" w:after="40" w:line="274" w:lineRule="auto"/>
            </w:pPr>
            <w:r>
              <w:rPr>
                <w:b/>
                <w:sz w:val="16"/>
              </w:rPr>
              <w:t>학적 상태</w:t>
            </w:r>
          </w:p>
        </w:tc>
        <w:tc>
          <w:tcPr>
            <w:tcW w:type="dxa" w:w="2268"/>
            <w:vAlign w:val="center"/>
            <w:tcMar>
              <w:top w:w="75" w:type="dxa"/>
              <w:left w:w="75" w:type="dxa"/>
              <w:bottom w:w="75" w:type="dxa"/>
              <w:right w:w="75" w:type="dxa"/>
            </w:tcMar>
            <w:shd w:fill="EDF3F7"/>
          </w:tcPr>
          <w:p>
            <w:pPr>
              <w:spacing w:before="0" w:after="40" w:line="274" w:lineRule="auto"/>
            </w:pPr>
            <w:r>
              <w:rPr>
                <w:b/>
                <w:sz w:val="16"/>
              </w:rPr>
              <w:t>휴대전화/이메일</w:t>
            </w:r>
          </w:p>
        </w:tc>
      </w:tr>
      <w:tr>
        <w:trPr>
          <w:cantSplit/>
          <w:trHeight w:val="737" w:hRule="atLeast"/>
        </w:trPr>
        <w:tc>
          <w:tcPr>
            <w:tcW w:type="dxa" w:w="850"/>
            <w:vAlign w:val="center"/>
            <w:tcMar>
              <w:top w:w="75" w:type="dxa"/>
              <w:left w:w="75" w:type="dxa"/>
              <w:bottom w:w="75" w:type="dxa"/>
              <w:right w:w="75" w:type="dxa"/>
            </w:tcMar>
          </w:tcPr>
          <w:p>
            <w:pPr>
              <w:spacing w:before="0" w:after="40" w:line="274" w:lineRule="auto"/>
            </w:pPr>
            <w:r>
              <w:rPr>
                <w:b w:val="0"/>
                <w:sz w:val="16"/>
              </w:rPr>
              <w:t>팀장</w:t>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2438"/>
            <w:vAlign w:val="center"/>
            <w:tcMar>
              <w:top w:w="75" w:type="dxa"/>
              <w:left w:w="75" w:type="dxa"/>
              <w:bottom w:w="75" w:type="dxa"/>
              <w:right w:w="75" w:type="dxa"/>
            </w:tcMar>
          </w:tcPr>
          <w:p>
            <w:pPr>
              <w:spacing w:before="0" w:after="40" w:line="274" w:lineRule="auto"/>
            </w:pPr>
            <w:r>
              <w:rPr>
                <w:b w:val="0"/>
                <w:sz w:val="16"/>
              </w:rPr>
            </w:r>
          </w:p>
        </w:tc>
        <w:tc>
          <w:tcPr>
            <w:tcW w:type="dxa" w:w="680"/>
            <w:vAlign w:val="center"/>
            <w:tcMar>
              <w:top w:w="75" w:type="dxa"/>
              <w:left w:w="75" w:type="dxa"/>
              <w:bottom w:w="75" w:type="dxa"/>
              <w:right w:w="75" w:type="dxa"/>
            </w:tcMar>
          </w:tcPr>
          <w:p>
            <w:pPr>
              <w:spacing w:before="0" w:after="40" w:line="274" w:lineRule="auto"/>
            </w:pPr>
            <w:r>
              <w:rPr>
                <w:b w:val="0"/>
                <w:sz w:val="16"/>
              </w:rPr>
            </w:r>
          </w:p>
        </w:tc>
        <w:tc>
          <w:tcPr>
            <w:tcW w:type="dxa" w:w="1587"/>
            <w:vAlign w:val="center"/>
            <w:tcMar>
              <w:top w:w="75" w:type="dxa"/>
              <w:left w:w="75" w:type="dxa"/>
              <w:bottom w:w="75" w:type="dxa"/>
              <w:right w:w="75" w:type="dxa"/>
            </w:tcMar>
          </w:tcPr>
          <w:p>
            <w:pPr>
              <w:spacing w:before="0" w:after="40" w:line="274" w:lineRule="auto"/>
            </w:pPr>
            <w:r>
              <w:rPr>
                <w:b w:val="0"/>
                <w:sz w:val="16"/>
              </w:rPr>
              <w:t>□재학 □휴학</w:t>
            </w:r>
          </w:p>
        </w:tc>
        <w:tc>
          <w:tcPr>
            <w:tcW w:type="dxa" w:w="2268"/>
            <w:vAlign w:val="center"/>
            <w:tcMar>
              <w:top w:w="75" w:type="dxa"/>
              <w:left w:w="75" w:type="dxa"/>
              <w:bottom w:w="75" w:type="dxa"/>
              <w:right w:w="75" w:type="dxa"/>
            </w:tcMar>
          </w:tcPr>
          <w:p>
            <w:pPr>
              <w:spacing w:before="0" w:after="40" w:line="274" w:lineRule="auto"/>
            </w:pPr>
            <w:r>
              <w:rPr>
                <w:b w:val="0"/>
                <w:sz w:val="16"/>
              </w:rPr>
            </w:r>
          </w:p>
        </w:tc>
      </w:tr>
      <w:tr>
        <w:trPr>
          <w:cantSplit/>
          <w:trHeight w:val="737" w:hRule="atLeast"/>
        </w:trPr>
        <w:tc>
          <w:tcPr>
            <w:tcW w:type="dxa" w:w="850"/>
            <w:vAlign w:val="center"/>
            <w:tcMar>
              <w:top w:w="75" w:type="dxa"/>
              <w:left w:w="75" w:type="dxa"/>
              <w:bottom w:w="75" w:type="dxa"/>
              <w:right w:w="75" w:type="dxa"/>
            </w:tcMar>
          </w:tcPr>
          <w:p>
            <w:pPr>
              <w:spacing w:before="0" w:after="40" w:line="274" w:lineRule="auto"/>
            </w:pPr>
            <w:r>
              <w:rPr>
                <w:b w:val="0"/>
                <w:sz w:val="16"/>
              </w:rPr>
              <w:t>팀원1</w:t>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2438"/>
            <w:vAlign w:val="center"/>
            <w:tcMar>
              <w:top w:w="75" w:type="dxa"/>
              <w:left w:w="75" w:type="dxa"/>
              <w:bottom w:w="75" w:type="dxa"/>
              <w:right w:w="75" w:type="dxa"/>
            </w:tcMar>
          </w:tcPr>
          <w:p>
            <w:pPr>
              <w:spacing w:before="0" w:after="40" w:line="274" w:lineRule="auto"/>
            </w:pPr>
            <w:r>
              <w:rPr>
                <w:b w:val="0"/>
                <w:sz w:val="16"/>
              </w:rPr>
            </w:r>
          </w:p>
        </w:tc>
        <w:tc>
          <w:tcPr>
            <w:tcW w:type="dxa" w:w="680"/>
            <w:vAlign w:val="center"/>
            <w:tcMar>
              <w:top w:w="75" w:type="dxa"/>
              <w:left w:w="75" w:type="dxa"/>
              <w:bottom w:w="75" w:type="dxa"/>
              <w:right w:w="75" w:type="dxa"/>
            </w:tcMar>
          </w:tcPr>
          <w:p>
            <w:pPr>
              <w:spacing w:before="0" w:after="40" w:line="274" w:lineRule="auto"/>
            </w:pPr>
            <w:r>
              <w:rPr>
                <w:b w:val="0"/>
                <w:sz w:val="16"/>
              </w:rPr>
            </w:r>
          </w:p>
        </w:tc>
        <w:tc>
          <w:tcPr>
            <w:tcW w:type="dxa" w:w="1587"/>
            <w:vAlign w:val="center"/>
            <w:tcMar>
              <w:top w:w="75" w:type="dxa"/>
              <w:left w:w="75" w:type="dxa"/>
              <w:bottom w:w="75" w:type="dxa"/>
              <w:right w:w="75" w:type="dxa"/>
            </w:tcMar>
          </w:tcPr>
          <w:p>
            <w:pPr>
              <w:spacing w:before="0" w:after="40" w:line="274" w:lineRule="auto"/>
            </w:pPr>
            <w:r>
              <w:rPr>
                <w:b w:val="0"/>
                <w:sz w:val="16"/>
              </w:rPr>
              <w:t>□재학 □휴학</w:t>
            </w:r>
          </w:p>
        </w:tc>
        <w:tc>
          <w:tcPr>
            <w:tcW w:type="dxa" w:w="2268"/>
            <w:vAlign w:val="center"/>
            <w:tcMar>
              <w:top w:w="75" w:type="dxa"/>
              <w:left w:w="75" w:type="dxa"/>
              <w:bottom w:w="75" w:type="dxa"/>
              <w:right w:w="75" w:type="dxa"/>
            </w:tcMar>
          </w:tcPr>
          <w:p>
            <w:pPr>
              <w:spacing w:before="0" w:after="40" w:line="274" w:lineRule="auto"/>
            </w:pPr>
            <w:r>
              <w:rPr>
                <w:b w:val="0"/>
                <w:sz w:val="16"/>
              </w:rPr>
            </w:r>
          </w:p>
        </w:tc>
      </w:tr>
      <w:tr>
        <w:trPr>
          <w:cantSplit/>
          <w:trHeight w:val="737" w:hRule="atLeast"/>
        </w:trPr>
        <w:tc>
          <w:tcPr>
            <w:tcW w:type="dxa" w:w="850"/>
            <w:vAlign w:val="center"/>
            <w:tcMar>
              <w:top w:w="75" w:type="dxa"/>
              <w:left w:w="75" w:type="dxa"/>
              <w:bottom w:w="75" w:type="dxa"/>
              <w:right w:w="75" w:type="dxa"/>
            </w:tcMar>
          </w:tcPr>
          <w:p>
            <w:pPr>
              <w:spacing w:before="0" w:after="40" w:line="274" w:lineRule="auto"/>
            </w:pPr>
            <w:r>
              <w:rPr>
                <w:b w:val="0"/>
                <w:sz w:val="16"/>
              </w:rPr>
              <w:t>팀원2</w:t>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2438"/>
            <w:vAlign w:val="center"/>
            <w:tcMar>
              <w:top w:w="75" w:type="dxa"/>
              <w:left w:w="75" w:type="dxa"/>
              <w:bottom w:w="75" w:type="dxa"/>
              <w:right w:w="75" w:type="dxa"/>
            </w:tcMar>
          </w:tcPr>
          <w:p>
            <w:pPr>
              <w:spacing w:before="0" w:after="40" w:line="274" w:lineRule="auto"/>
            </w:pPr>
            <w:r>
              <w:rPr>
                <w:b w:val="0"/>
                <w:sz w:val="16"/>
              </w:rPr>
            </w:r>
          </w:p>
        </w:tc>
        <w:tc>
          <w:tcPr>
            <w:tcW w:type="dxa" w:w="680"/>
            <w:vAlign w:val="center"/>
            <w:tcMar>
              <w:top w:w="75" w:type="dxa"/>
              <w:left w:w="75" w:type="dxa"/>
              <w:bottom w:w="75" w:type="dxa"/>
              <w:right w:w="75" w:type="dxa"/>
            </w:tcMar>
          </w:tcPr>
          <w:p>
            <w:pPr>
              <w:spacing w:before="0" w:after="40" w:line="274" w:lineRule="auto"/>
            </w:pPr>
            <w:r>
              <w:rPr>
                <w:b w:val="0"/>
                <w:sz w:val="16"/>
              </w:rPr>
            </w:r>
          </w:p>
        </w:tc>
        <w:tc>
          <w:tcPr>
            <w:tcW w:type="dxa" w:w="1587"/>
            <w:vAlign w:val="center"/>
            <w:tcMar>
              <w:top w:w="75" w:type="dxa"/>
              <w:left w:w="75" w:type="dxa"/>
              <w:bottom w:w="75" w:type="dxa"/>
              <w:right w:w="75" w:type="dxa"/>
            </w:tcMar>
          </w:tcPr>
          <w:p>
            <w:pPr>
              <w:spacing w:before="0" w:after="40" w:line="274" w:lineRule="auto"/>
            </w:pPr>
            <w:r>
              <w:rPr>
                <w:b w:val="0"/>
                <w:sz w:val="16"/>
              </w:rPr>
              <w:t>□재학 □휴학</w:t>
            </w:r>
          </w:p>
        </w:tc>
        <w:tc>
          <w:tcPr>
            <w:tcW w:type="dxa" w:w="2268"/>
            <w:vAlign w:val="center"/>
            <w:tcMar>
              <w:top w:w="75" w:type="dxa"/>
              <w:left w:w="75" w:type="dxa"/>
              <w:bottom w:w="75" w:type="dxa"/>
              <w:right w:w="75" w:type="dxa"/>
            </w:tcMar>
          </w:tcPr>
          <w:p>
            <w:pPr>
              <w:spacing w:before="0" w:after="40" w:line="274" w:lineRule="auto"/>
            </w:pPr>
            <w:r>
              <w:rPr>
                <w:b w:val="0"/>
                <w:sz w:val="16"/>
              </w:rPr>
            </w:r>
          </w:p>
        </w:tc>
      </w:tr>
      <w:tr>
        <w:trPr>
          <w:cantSplit/>
          <w:trHeight w:val="737" w:hRule="atLeast"/>
        </w:trPr>
        <w:tc>
          <w:tcPr>
            <w:tcW w:type="dxa" w:w="850"/>
            <w:vAlign w:val="center"/>
            <w:tcMar>
              <w:top w:w="75" w:type="dxa"/>
              <w:left w:w="75" w:type="dxa"/>
              <w:bottom w:w="75" w:type="dxa"/>
              <w:right w:w="75" w:type="dxa"/>
            </w:tcMar>
          </w:tcPr>
          <w:p>
            <w:pPr>
              <w:spacing w:before="0" w:after="40" w:line="274" w:lineRule="auto"/>
            </w:pPr>
            <w:r>
              <w:rPr>
                <w:b w:val="0"/>
                <w:sz w:val="16"/>
              </w:rPr>
              <w:t>팀원3</w:t>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1077"/>
            <w:vAlign w:val="center"/>
            <w:tcMar>
              <w:top w:w="75" w:type="dxa"/>
              <w:left w:w="75" w:type="dxa"/>
              <w:bottom w:w="75" w:type="dxa"/>
              <w:right w:w="75" w:type="dxa"/>
            </w:tcMar>
          </w:tcPr>
          <w:p>
            <w:pPr>
              <w:spacing w:before="0" w:after="40" w:line="274" w:lineRule="auto"/>
            </w:pPr>
            <w:r>
              <w:rPr>
                <w:b w:val="0"/>
                <w:sz w:val="16"/>
              </w:rPr>
            </w:r>
          </w:p>
        </w:tc>
        <w:tc>
          <w:tcPr>
            <w:tcW w:type="dxa" w:w="2438"/>
            <w:vAlign w:val="center"/>
            <w:tcMar>
              <w:top w:w="75" w:type="dxa"/>
              <w:left w:w="75" w:type="dxa"/>
              <w:bottom w:w="75" w:type="dxa"/>
              <w:right w:w="75" w:type="dxa"/>
            </w:tcMar>
          </w:tcPr>
          <w:p>
            <w:pPr>
              <w:spacing w:before="0" w:after="40" w:line="274" w:lineRule="auto"/>
            </w:pPr>
            <w:r>
              <w:rPr>
                <w:b w:val="0"/>
                <w:sz w:val="16"/>
              </w:rPr>
            </w:r>
          </w:p>
        </w:tc>
        <w:tc>
          <w:tcPr>
            <w:tcW w:type="dxa" w:w="680"/>
            <w:vAlign w:val="center"/>
            <w:tcMar>
              <w:top w:w="75" w:type="dxa"/>
              <w:left w:w="75" w:type="dxa"/>
              <w:bottom w:w="75" w:type="dxa"/>
              <w:right w:w="75" w:type="dxa"/>
            </w:tcMar>
          </w:tcPr>
          <w:p>
            <w:pPr>
              <w:spacing w:before="0" w:after="40" w:line="274" w:lineRule="auto"/>
            </w:pPr>
            <w:r>
              <w:rPr>
                <w:b w:val="0"/>
                <w:sz w:val="16"/>
              </w:rPr>
            </w:r>
          </w:p>
        </w:tc>
        <w:tc>
          <w:tcPr>
            <w:tcW w:type="dxa" w:w="1587"/>
            <w:vAlign w:val="center"/>
            <w:tcMar>
              <w:top w:w="75" w:type="dxa"/>
              <w:left w:w="75" w:type="dxa"/>
              <w:bottom w:w="75" w:type="dxa"/>
              <w:right w:w="75" w:type="dxa"/>
            </w:tcMar>
          </w:tcPr>
          <w:p>
            <w:pPr>
              <w:spacing w:before="0" w:after="40" w:line="274" w:lineRule="auto"/>
            </w:pPr>
            <w:r>
              <w:rPr>
                <w:b w:val="0"/>
                <w:sz w:val="16"/>
              </w:rPr>
              <w:t>□재학 □휴학</w:t>
            </w:r>
          </w:p>
        </w:tc>
        <w:tc>
          <w:tcPr>
            <w:tcW w:type="dxa" w:w="2268"/>
            <w:vAlign w:val="center"/>
            <w:tcMar>
              <w:top w:w="75" w:type="dxa"/>
              <w:left w:w="75" w:type="dxa"/>
              <w:bottom w:w="75" w:type="dxa"/>
              <w:right w:w="75" w:type="dxa"/>
            </w:tcMar>
          </w:tcPr>
          <w:p>
            <w:pPr>
              <w:spacing w:before="0" w:after="40" w:line="274" w:lineRule="auto"/>
            </w:pPr>
            <w:r>
              <w:rPr>
                <w:b w:val="0"/>
                <w:sz w:val="16"/>
              </w:rPr>
            </w:r>
          </w:p>
        </w:tc>
      </w:tr>
    </w:tbl>
    <w:p>
      <w:pPr>
        <w:spacing w:after="0"/>
      </w:pPr>
    </w:p>
    <w:p>
      <w:r>
        <w:rPr>
          <w:b w:val="0"/>
          <w:sz w:val="18"/>
        </w:rPr>
        <w:t>위와 같이 「2026 동남권 멀티도메인 모빌리티 비즈니스 해커톤」에 참가를 신청합니다. 신청서 및 제출자료의 기재사항에 사실과 다른 내용이 있거나, 귀 대회가 제시한 참가 자격 등의 요건을 충족하지 못할 경우 어떠한 불이익도 감수하겠습니다.</w:t>
      </w:r>
    </w:p>
    <w:p>
      <w:pPr>
        <w:jc w:val="center"/>
      </w:pPr>
      <w:r>
        <w:rPr>
          <w:b w:val="0"/>
          <w:sz w:val="18"/>
        </w:rPr>
        <w:t>2026년        월        일</w:t>
      </w:r>
    </w:p>
    <w:p>
      <w:pPr>
        <w:jc w:val="right"/>
      </w:pPr>
      <w:r>
        <w:rPr>
          <w:b w:val="0"/>
          <w:sz w:val="18"/>
        </w:rPr>
        <w:t>팀명  R-Delay                 팀장                         (서명)</w:t>
      </w:r>
    </w:p>
    <w:p>
      <w:pPr>
        <w:jc w:val="right"/>
      </w:pPr>
      <w:r>
        <w:rPr>
          <w:b/>
          <w:sz w:val="20"/>
        </w:rPr>
        <w:t>동남권지역혁신융복합단지추진단 귀하</w:t>
      </w:r>
    </w:p>
    <w:p>
      <w:r>
        <w:rPr>
          <w:b w:val="0"/>
          <w:sz w:val="15"/>
        </w:rPr>
        <w:t>※ 제출된 서류는 반환하지 않으며, 대학원생은 개인부문에 신청이 불가함(기업부문 참여 가능).</w:t>
        <w:br/>
        <w:t>※ 본선기간(26.11.8~11.10) 해외여행(일본)이 가능한 유효 여권 및 출입국 허가 요건을 팀원 전원이 충족하여야 함.</w:t>
      </w:r>
    </w:p>
    <w:p>
      <w:r>
        <w:br w:type="page"/>
      </w:r>
    </w:p>
    <w:p>
      <w:pPr>
        <w:pStyle w:val="Heading1"/>
      </w:pPr>
      <w:r>
        <w:rPr>
          <w:b w:val="0"/>
        </w:rPr>
        <w:t>해커톤 제안 작품 컨셉 기획안</w:t>
      </w:r>
    </w:p>
    <w:p>
      <w:r>
        <w:rPr>
          <w:b/>
          <w:sz w:val="22"/>
        </w:rPr>
        <w:t>1. 제안 작품 요약</w:t>
      </w:r>
    </w:p>
    <w:tbl>
      <w:tblPr>
        <w:tblStyle w:val="TableGrid"/>
        <w:tblW w:type="auto" w:w="0"/>
        <w:jc w:val="center"/>
        <w:tblLayout w:type="fixed"/>
        <w:tblLook w:firstColumn="1" w:firstRow="1" w:lastColumn="0" w:lastRow="0" w:noHBand="0" w:noVBand="1" w:val="04A0"/>
      </w:tblPr>
      <w:tblGrid>
        <w:gridCol w:w="1757"/>
        <w:gridCol w:w="8220"/>
      </w:tblGrid>
      <w:tr>
        <w:trPr>
          <w:cantSplit/>
        </w:trPr>
        <w:tc>
          <w:tcPr>
            <w:tcW w:type="dxa" w:w="1757"/>
            <w:vAlign w:val="center"/>
            <w:tcMar>
              <w:top w:w="75" w:type="dxa"/>
              <w:left w:w="75" w:type="dxa"/>
              <w:bottom w:w="75" w:type="dxa"/>
              <w:right w:w="75" w:type="dxa"/>
            </w:tcMar>
            <w:shd w:fill="EDF3F7"/>
          </w:tcPr>
          <w:p>
            <w:pPr>
              <w:spacing w:before="0" w:after="40" w:line="274" w:lineRule="auto"/>
            </w:pPr>
            <w:r>
              <w:rPr>
                <w:b/>
                <w:sz w:val="18"/>
              </w:rPr>
              <w:t>팀명</w:t>
            </w:r>
          </w:p>
        </w:tc>
        <w:tc>
          <w:tcPr>
            <w:tcW w:type="dxa" w:w="8220"/>
            <w:vAlign w:val="center"/>
            <w:tcMar>
              <w:top w:w="75" w:type="dxa"/>
              <w:left w:w="75" w:type="dxa"/>
              <w:bottom w:w="75" w:type="dxa"/>
              <w:right w:w="75" w:type="dxa"/>
            </w:tcMar>
          </w:tcPr>
          <w:p>
            <w:pPr>
              <w:spacing w:before="0" w:after="40" w:line="274" w:lineRule="auto"/>
            </w:pPr>
            <w:r>
              <w:rPr>
                <w:b w:val="0"/>
                <w:sz w:val="18"/>
              </w:rPr>
              <w:t>R-Delay</w:t>
            </w:r>
          </w:p>
        </w:tc>
      </w:tr>
      <w:tr>
        <w:trPr>
          <w:cantSplit/>
        </w:trPr>
        <w:tc>
          <w:tcPr>
            <w:tcW w:type="dxa" w:w="1757"/>
            <w:vAlign w:val="center"/>
            <w:tcMar>
              <w:top w:w="75" w:type="dxa"/>
              <w:left w:w="75" w:type="dxa"/>
              <w:bottom w:w="75" w:type="dxa"/>
              <w:right w:w="75" w:type="dxa"/>
            </w:tcMar>
            <w:shd w:fill="EDF3F7"/>
          </w:tcPr>
          <w:p>
            <w:pPr>
              <w:spacing w:before="0" w:after="40" w:line="274" w:lineRule="auto"/>
            </w:pPr>
            <w:r>
              <w:rPr>
                <w:b/>
                <w:sz w:val="18"/>
              </w:rPr>
              <w:t>제안 작품명</w:t>
            </w:r>
          </w:p>
        </w:tc>
        <w:tc>
          <w:tcPr>
            <w:tcW w:type="dxa" w:w="8220"/>
            <w:vAlign w:val="center"/>
            <w:tcMar>
              <w:top w:w="75" w:type="dxa"/>
              <w:left w:w="75" w:type="dxa"/>
              <w:bottom w:w="75" w:type="dxa"/>
              <w:right w:w="75" w:type="dxa"/>
            </w:tcMar>
          </w:tcPr>
          <w:p>
            <w:pPr>
              <w:spacing w:before="0" w:after="40" w:line="274" w:lineRule="auto"/>
            </w:pPr>
            <w:r>
              <w:rPr>
                <w:b w:val="0"/>
                <w:sz w:val="18"/>
              </w:rPr>
              <w:t>R-Delay: 감염병 확산 수리모델 기반 해상·육상 지연 예측·대응 웹서비스</w:t>
            </w:r>
          </w:p>
        </w:tc>
      </w:tr>
      <w:tr>
        <w:trPr>
          <w:cantSplit/>
        </w:trPr>
        <w:tc>
          <w:tcPr>
            <w:tcW w:type="dxa" w:w="1757"/>
            <w:vAlign w:val="center"/>
            <w:tcMar>
              <w:top w:w="75" w:type="dxa"/>
              <w:left w:w="75" w:type="dxa"/>
              <w:bottom w:w="75" w:type="dxa"/>
              <w:right w:w="75" w:type="dxa"/>
            </w:tcMar>
            <w:shd w:fill="EDF3F7"/>
          </w:tcPr>
          <w:p>
            <w:pPr>
              <w:spacing w:before="0" w:after="40" w:line="274" w:lineRule="auto"/>
            </w:pPr>
            <w:r>
              <w:rPr>
                <w:b/>
                <w:sz w:val="18"/>
              </w:rPr>
              <w:t>핵심키워드</w:t>
            </w:r>
          </w:p>
        </w:tc>
        <w:tc>
          <w:tcPr>
            <w:tcW w:type="dxa" w:w="8220"/>
            <w:vAlign w:val="center"/>
            <w:tcMar>
              <w:top w:w="75" w:type="dxa"/>
              <w:left w:w="75" w:type="dxa"/>
              <w:bottom w:w="75" w:type="dxa"/>
              <w:right w:w="75" w:type="dxa"/>
            </w:tcMar>
          </w:tcPr>
          <w:p>
            <w:pPr>
              <w:spacing w:before="0" w:after="40" w:line="274" w:lineRule="auto"/>
            </w:pPr>
            <w:r>
              <w:rPr>
                <w:b w:val="0"/>
                <w:sz w:val="18"/>
              </w:rPr>
              <w:t>SIS 수리모델, 로그-OU·입자필터, 해상·육상 융합, 시간가변 대기모형, 배차 의사결정</w:t>
            </w:r>
          </w:p>
        </w:tc>
      </w:tr>
      <w:tr>
        <w:trPr>
          <w:cantSplit/>
        </w:trPr>
        <w:tc>
          <w:tcPr>
            <w:tcW w:type="dxa" w:w="1757"/>
            <w:vAlign w:val="center"/>
            <w:tcMar>
              <w:top w:w="75" w:type="dxa"/>
              <w:left w:w="75" w:type="dxa"/>
              <w:bottom w:w="75" w:type="dxa"/>
              <w:right w:w="75" w:type="dxa"/>
            </w:tcMar>
            <w:shd w:fill="EDF3F7"/>
          </w:tcPr>
          <w:p>
            <w:pPr>
              <w:spacing w:before="0" w:after="40" w:line="274" w:lineRule="auto"/>
            </w:pPr>
            <w:r>
              <w:rPr>
                <w:b/>
                <w:sz w:val="18"/>
              </w:rPr>
              <w:t>관련 모빌리티 도메인</w:t>
            </w:r>
          </w:p>
        </w:tc>
        <w:tc>
          <w:tcPr>
            <w:tcW w:type="dxa" w:w="8220"/>
            <w:vAlign w:val="center"/>
            <w:tcMar>
              <w:top w:w="75" w:type="dxa"/>
              <w:left w:w="75" w:type="dxa"/>
              <w:bottom w:w="75" w:type="dxa"/>
              <w:right w:w="75" w:type="dxa"/>
            </w:tcMar>
          </w:tcPr>
          <w:p>
            <w:pPr>
              <w:spacing w:before="0" w:after="40" w:line="274" w:lineRule="auto"/>
            </w:pPr>
            <w:r>
              <w:rPr>
                <w:b w:val="0"/>
                <w:sz w:val="18"/>
              </w:rPr>
              <w:t>융합 대상: ☑ 육상   ☑ 해상   □ 항공 / 주 도메인: 해상 ◎</w:t>
            </w:r>
          </w:p>
        </w:tc>
      </w:tr>
    </w:tbl>
    <w:p>
      <w:pPr>
        <w:spacing w:after="0"/>
      </w:pPr>
    </w:p>
    <w:tbl>
      <w:tblPr>
        <w:tblStyle w:val="TableGrid"/>
        <w:tblW w:type="auto" w:w="0"/>
        <w:jc w:val="center"/>
        <w:tblLayout w:type="fixed"/>
        <w:tblLook w:firstColumn="1" w:firstRow="1" w:lastColumn="0" w:lastRow="0" w:noHBand="0" w:noVBand="1" w:val="04A0"/>
      </w:tblPr>
      <w:tblGrid>
        <w:gridCol w:w="1984"/>
        <w:gridCol w:w="7994"/>
      </w:tblGrid>
      <w:tr>
        <w:trPr>
          <w:cantSplit/>
          <w:trHeight w:val="454" w:hRule="atLeast"/>
          <w:tblHeader/>
        </w:trPr>
        <w:tc>
          <w:tcPr>
            <w:tcW w:type="dxa" w:w="1984"/>
            <w:vAlign w:val="center"/>
            <w:tcMar>
              <w:top w:w="75" w:type="dxa"/>
              <w:left w:w="75" w:type="dxa"/>
              <w:bottom w:w="75" w:type="dxa"/>
              <w:right w:w="75" w:type="dxa"/>
            </w:tcMar>
            <w:shd w:fill="EDF3F7"/>
          </w:tcPr>
          <w:p>
            <w:pPr>
              <w:spacing w:before="0" w:after="40" w:line="274" w:lineRule="auto"/>
            </w:pPr>
            <w:r>
              <w:rPr>
                <w:b/>
                <w:sz w:val="18"/>
              </w:rPr>
              <w:t>구분</w:t>
            </w:r>
          </w:p>
        </w:tc>
        <w:tc>
          <w:tcPr>
            <w:tcW w:type="dxa" w:w="7994"/>
            <w:vAlign w:val="center"/>
            <w:tcMar>
              <w:top w:w="75" w:type="dxa"/>
              <w:left w:w="75" w:type="dxa"/>
              <w:bottom w:w="75" w:type="dxa"/>
              <w:right w:w="75" w:type="dxa"/>
            </w:tcMar>
            <w:shd w:fill="EDF3F7"/>
          </w:tcPr>
          <w:p>
            <w:pPr>
              <w:spacing w:before="0" w:after="40" w:line="274" w:lineRule="auto"/>
            </w:pPr>
            <w:r>
              <w:rPr>
                <w:b/>
                <w:sz w:val="18"/>
              </w:rPr>
              <w:t>요약</w:t>
            </w:r>
          </w:p>
        </w:tc>
      </w:tr>
      <w:tr>
        <w:trPr>
          <w:cantSplit/>
          <w:trHeight w:val="1814" w:hRule="atLeast"/>
        </w:trPr>
        <w:tc>
          <w:tcPr>
            <w:tcW w:type="dxa" w:w="1984"/>
            <w:vAlign w:val="center"/>
            <w:tcMar>
              <w:top w:w="75" w:type="dxa"/>
              <w:left w:w="75" w:type="dxa"/>
              <w:bottom w:w="75" w:type="dxa"/>
              <w:right w:w="75" w:type="dxa"/>
            </w:tcMar>
          </w:tcPr>
          <w:p>
            <w:pPr>
              <w:spacing w:before="0" w:after="40" w:line="274" w:lineRule="auto"/>
            </w:pPr>
            <w:r>
              <w:rPr>
                <w:b w:val="0"/>
                <w:sz w:val="18"/>
              </w:rPr>
              <w:t>기획 배경</w:t>
            </w:r>
          </w:p>
        </w:tc>
        <w:tc>
          <w:tcPr>
            <w:tcW w:type="dxa" w:w="7994"/>
            <w:vAlign w:val="center"/>
            <w:tcMar>
              <w:top w:w="75" w:type="dxa"/>
              <w:left w:w="75" w:type="dxa"/>
              <w:bottom w:w="75" w:type="dxa"/>
              <w:right w:w="75" w:type="dxa"/>
            </w:tcMar>
          </w:tcPr>
          <w:p>
            <w:pPr>
              <w:spacing w:before="0" w:after="40" w:line="274" w:lineRule="auto"/>
            </w:pPr>
            <w:r>
              <w:rPr>
                <w:b w:val="0"/>
                <w:sz w:val="18"/>
              </w:rPr>
              <w:t>부산신항–양산권 수입컨테이너 운송을 적용 후보로 삼는다. BPA의 차량 예약 운영 사례[W1]와 공개된 연결 시뮬레이션 요구[W2]를 참고하여 해상 지연과 내륙 마감의 연결 문제를 다룬다. 실제 고객·화물 연결자료는 미확보다.</w:t>
            </w:r>
          </w:p>
        </w:tc>
      </w:tr>
      <w:tr>
        <w:trPr>
          <w:cantSplit/>
          <w:trHeight w:val="3288" w:hRule="atLeast"/>
        </w:trPr>
        <w:tc>
          <w:tcPr>
            <w:tcW w:type="dxa" w:w="1984"/>
            <w:vAlign w:val="center"/>
            <w:tcMar>
              <w:top w:w="75" w:type="dxa"/>
              <w:left w:w="75" w:type="dxa"/>
              <w:bottom w:w="75" w:type="dxa"/>
              <w:right w:w="75" w:type="dxa"/>
            </w:tcMar>
          </w:tcPr>
          <w:p>
            <w:pPr>
              <w:spacing w:before="0" w:after="40" w:line="274" w:lineRule="auto"/>
            </w:pPr>
            <w:r>
              <w:rPr>
                <w:b w:val="0"/>
                <w:sz w:val="18"/>
              </w:rPr>
              <w:t>제안 작품 핵심 컨셉</w:t>
            </w:r>
          </w:p>
        </w:tc>
        <w:tc>
          <w:tcPr>
            <w:tcW w:type="dxa" w:w="7994"/>
            <w:vAlign w:val="center"/>
            <w:tcMar>
              <w:top w:w="75" w:type="dxa"/>
              <w:left w:w="75" w:type="dxa"/>
              <w:bottom w:w="75" w:type="dxa"/>
              <w:right w:w="75" w:type="dxa"/>
            </w:tcMar>
          </w:tcPr>
          <w:p>
            <w:pPr>
              <w:spacing w:before="0" w:after="40" w:line="274" w:lineRule="auto"/>
            </w:pPr>
            <w:r>
              <w:rPr>
                <w:b w:val="0"/>
                <w:sz w:val="18"/>
              </w:rPr>
              <w:t>SIS 미분방정식으로 거점의 지연 전파·회복을 계산하고 로그-OU로 계수 변동, 입자필터로 관측 갱신을 구현한다. 시간가변 선석 대기모형을 화물 준비·반출·도로 이동과 연결해 마감 위험과 대응 비용을 비교한다. 원래 마감과 차량·예약·변경 시한을 유지하며, R_d를 단독 안전기준으로 쓰지 않는다. 원안 식과 추가 연결 가정을 구분한다.</w:t>
            </w:r>
          </w:p>
        </w:tc>
      </w:tr>
      <w:tr>
        <w:trPr>
          <w:cantSplit/>
          <w:trHeight w:val="2494" w:hRule="atLeast"/>
        </w:trPr>
        <w:tc>
          <w:tcPr>
            <w:tcW w:type="dxa" w:w="1984"/>
            <w:vAlign w:val="center"/>
            <w:tcMar>
              <w:top w:w="75" w:type="dxa"/>
              <w:left w:w="75" w:type="dxa"/>
              <w:bottom w:w="75" w:type="dxa"/>
              <w:right w:w="75" w:type="dxa"/>
            </w:tcMar>
          </w:tcPr>
          <w:p>
            <w:pPr>
              <w:spacing w:before="0" w:after="40" w:line="274" w:lineRule="auto"/>
            </w:pPr>
            <w:r>
              <w:rPr>
                <w:b w:val="0"/>
                <w:sz w:val="18"/>
              </w:rPr>
              <w:t>최종 성과물 개발 전략 및 계획</w:t>
            </w:r>
          </w:p>
        </w:tc>
        <w:tc>
          <w:tcPr>
            <w:tcW w:type="dxa" w:w="7994"/>
            <w:vAlign w:val="center"/>
            <w:tcMar>
              <w:top w:w="75" w:type="dxa"/>
              <w:left w:w="75" w:type="dxa"/>
              <w:bottom w:w="75" w:type="dxa"/>
              <w:right w:w="75" w:type="dxa"/>
            </w:tcMar>
          </w:tcPr>
          <w:p>
            <w:pPr>
              <w:spacing w:before="0" w:after="40" w:line="274" w:lineRule="auto"/>
            </w:pPr>
            <w:r>
              <w:rPr>
                <w:b w:val="0"/>
                <w:sz w:val="18"/>
              </w:rPr>
              <w:t>이번 대회 목표는 수리모델·계수 추정·웹/API의 통합 서비스, 같은 Python 엔진의 로컬 실행환경, 검증 기록과 GitHub 제출 버전이다. SIS·로그-OU·입자필터·선석 대기·배차 비교를 모두 이번 개발 범위로 둔다. 현재 문서는 1차 설계이며 이 기능들의 구현·실행 검증이 완료된 상태는 아니다.</w:t>
            </w:r>
          </w:p>
        </w:tc>
      </w:tr>
      <w:tr>
        <w:trPr>
          <w:cantSplit/>
          <w:trHeight w:val="2608" w:hRule="atLeast"/>
        </w:trPr>
        <w:tc>
          <w:tcPr>
            <w:tcW w:type="dxa" w:w="1984"/>
            <w:vAlign w:val="center"/>
            <w:tcMar>
              <w:top w:w="75" w:type="dxa"/>
              <w:left w:w="75" w:type="dxa"/>
              <w:bottom w:w="75" w:type="dxa"/>
              <w:right w:w="75" w:type="dxa"/>
            </w:tcMar>
          </w:tcPr>
          <w:p>
            <w:pPr>
              <w:spacing w:before="0" w:after="40" w:line="274" w:lineRule="auto"/>
            </w:pPr>
            <w:r>
              <w:rPr>
                <w:b w:val="0"/>
                <w:sz w:val="18"/>
              </w:rPr>
              <w:t>비즈니스 모델 및 사업화 방향</w:t>
            </w:r>
          </w:p>
        </w:tc>
        <w:tc>
          <w:tcPr>
            <w:tcW w:type="dxa" w:w="7994"/>
            <w:vAlign w:val="center"/>
            <w:tcMar>
              <w:top w:w="75" w:type="dxa"/>
              <w:left w:w="75" w:type="dxa"/>
              <w:bottom w:w="75" w:type="dxa"/>
              <w:right w:w="75" w:type="dxa"/>
            </w:tcMar>
          </w:tcPr>
          <w:p>
            <w:pPr>
              <w:spacing w:before="0" w:after="40" w:line="274" w:lineRule="auto"/>
            </w:pPr>
            <w:r>
              <w:rPr>
                <w:b w:val="0"/>
                <w:sz w:val="18"/>
              </w:rPr>
              <w:t>내륙운송을 조율하는 중소 포워더 운영담당자를 사용자 가설로, 운영책임자를 구매자 후보로 둔다. 사업장·관리건수 기준 구독을 검토한다. 공개자료로 업무 가설을 정리하고 연결자료의 이용권 확보 후 제한 파일럿으로 입력 부담·반복 사용·구매자 편익을 확인한다. 가격·고객·매출은 미검증이다.</w:t>
            </w:r>
          </w:p>
        </w:tc>
      </w:tr>
    </w:tbl>
    <w:p>
      <w:pPr>
        <w:spacing w:after="0"/>
      </w:pPr>
    </w:p>
    <w:p>
      <w:r>
        <w:br w:type="page"/>
      </w:r>
    </w:p>
    <w:p>
      <w:pPr>
        <w:pStyle w:val="Heading1"/>
      </w:pPr>
      <w:r>
        <w:rPr>
          <w:b w:val="0"/>
        </w:rPr>
        <w:t>2. 제안 작품 컨셉 상세 기획안</w:t>
      </w:r>
    </w:p>
    <w:p>
      <w:pPr>
        <w:pStyle w:val="Heading2"/>
      </w:pPr>
      <w:r>
        <w:rPr>
          <w:b w:val="0"/>
        </w:rPr>
        <w:t>가. 기획 배경</w:t>
      </w:r>
    </w:p>
    <w:p>
      <w:r>
        <w:rPr>
          <w:b w:val="0"/>
        </w:rPr>
        <w:t>□ 항만 일정 조정의 문제를 개별 화물의 결정으로 구체화</w:t>
      </w:r>
    </w:p>
    <w:p>
      <w:r>
        <w:rPr>
          <w:b w:val="0"/>
        </w:rPr>
        <w:t>BPA는 BPT 신선대·감만의 2021년 11~12월 VBS 시범운영에서 차량 평균 대기시간이 28.23분에서 23.93분으로 감소했다고 발표했다[W1]. 특정 운영 사례이며 R-Delay 성과·부산신항 현재 평균으로 일반화하지 않는다. MSC의 환적 연결 시뮬레이션 요구[W2]는 설계 참고근거이지 중소 포워더 구매 의사의 증거는 아니다.</w:t>
      </w:r>
    </w:p>
    <w:p>
      <w:r>
        <w:rPr>
          <w:b w:val="0"/>
        </w:rPr>
        <w:t>□ 기존 기능을 인정하고 추가 판단 가치를 검증</w:t>
      </w:r>
    </w:p>
    <w:p>
      <w:r>
        <w:rPr>
          <w:b w:val="0"/>
        </w:rPr>
        <w:t>Port-i는 통합 모니터링·이상 탐지를 제공한다고 안내한다[W3]. 기존 기능이 없다고 주장하지 않고, 화물별 원래 마감·변경조건·비용을 반영한 배차 유지/변경 판단을 검증한다. 사용자는 운송을 조율하고, 실제 예약·차량 배정·추가비용은 권한자가 승인한다.</w:t>
      </w:r>
    </w:p>
    <w:p>
      <w:pPr>
        <w:pStyle w:val="Heading2"/>
      </w:pPr>
      <w:r>
        <w:rPr>
          <w:b w:val="0"/>
        </w:rPr>
        <w:t>나. 제안 작품 핵심 컨셉 / 나-1. 핵심컨셉</w:t>
      </w:r>
    </w:p>
    <w:p>
      <w:r>
        <w:rPr>
          <w:b w:val="0"/>
        </w:rPr>
        <w:t>□ SIS 미분방정식을 이번 구현의 핵심 엔진으로 유지 [U]</w:t>
      </w:r>
    </w:p>
    <w:p>
      <w:pPr>
        <w:pStyle w:val="FirstParagraph"/>
      </w:pPr>
      <m:oMathPara>
        <m:oMathParaPr>
          <m:jc m:val="center"/>
        </m:oMathParaPr>
        <m:oMath>
          <m:f>
            <m:fPr>
              <m:type m:val="bar"/>
            </m:fPr>
            <m:num>
              <m:r>
                <m:t>d</m:t>
              </m:r>
              <m:sSub>
                <m:e>
                  <m:r>
                    <m:t>I</m:t>
                  </m:r>
                </m:e>
                <m:sub>
                  <m:r>
                    <m:t>i</m:t>
                  </m:r>
                </m:sub>
              </m:sSub>
            </m:num>
            <m:den>
              <m:r>
                <m:t>d</m:t>
              </m:r>
              <m:r>
                <m:t>t</m:t>
              </m:r>
            </m:den>
          </m:f>
          <m:r>
            <m:rPr>
              <m:sty m:val="p"/>
            </m:rPr>
            <m:t>=</m:t>
          </m:r>
          <m:sSub>
            <m:e>
              <m:r>
                <m:t>β</m:t>
              </m:r>
            </m:e>
            <m:sub>
              <m:r>
                <m:t>i</m:t>
              </m:r>
            </m:sub>
          </m:sSub>
          <m:d>
            <m:dPr>
              <m:begChr m:val="("/>
              <m:endChr m:val=")"/>
              <m:sepChr m:val=""/>
              <m:grow/>
            </m:dPr>
            <m:e>
              <m:r>
                <m:t>t</m:t>
              </m:r>
            </m:e>
          </m:d>
          <m:d>
            <m:dPr>
              <m:begChr m:val="("/>
              <m:endChr m:val=")"/>
              <m:sepChr m:val=""/>
              <m:grow/>
            </m:dPr>
            <m:e>
              <m:r>
                <m:t>1</m:t>
              </m:r>
              <m:r>
                <m:rPr>
                  <m:sty m:val="p"/>
                </m:rPr>
                <m:t>−</m:t>
              </m:r>
              <m:f>
                <m:fPr>
                  <m:type m:val="bar"/>
                </m:fPr>
                <m:num>
                  <m:sSub>
                    <m:e>
                      <m:r>
                        <m:t>I</m:t>
                      </m:r>
                    </m:e>
                    <m:sub>
                      <m:r>
                        <m:t>i</m:t>
                      </m:r>
                    </m:sub>
                  </m:sSub>
                </m:num>
                <m:den>
                  <m:sSub>
                    <m:e>
                      <m:r>
                        <m:t>N</m:t>
                      </m:r>
                    </m:e>
                    <m:sub>
                      <m:r>
                        <m:t>i</m:t>
                      </m:r>
                    </m:sub>
                  </m:sSub>
                </m:den>
              </m:f>
            </m:e>
          </m:d>
          <m:nary>
            <m:naryPr>
              <m:chr m:val="∑"/>
              <m:limLoc m:val="undOvr"/>
              <m:subHide m:val="off"/>
              <m:supHide m:val="on"/>
            </m:naryPr>
            <m:sub>
              <m:r>
                <m:t>j</m:t>
              </m:r>
            </m:sub>
            <m:sup>
              <m:r>
                <m:t>​</m:t>
              </m:r>
            </m:sup>
            <m:e>
              <m:sSub>
                <m:e>
                  <m:r>
                    <m:t>C</m:t>
                  </m:r>
                </m:e>
                <m:sub>
                  <m:r>
                    <m:t>i</m:t>
                  </m:r>
                  <m:r>
                    <m:t>j</m:t>
                  </m:r>
                </m:sub>
              </m:sSub>
            </m:e>
          </m:nary>
          <m:d>
            <m:dPr>
              <m:begChr m:val="("/>
              <m:endChr m:val=")"/>
              <m:sepChr m:val=""/>
              <m:grow/>
            </m:dPr>
            <m:e>
              <m:r>
                <m:t>t</m:t>
              </m:r>
            </m:e>
          </m:d>
          <m:sSub>
            <m:e>
              <m:r>
                <m:t>I</m:t>
              </m:r>
            </m:e>
            <m:sub>
              <m:r>
                <m:t>j</m:t>
              </m:r>
            </m:sub>
          </m:sSub>
          <m:r>
            <m:rPr>
              <m:sty m:val="p"/>
            </m:rPr>
            <m:t>−</m:t>
          </m:r>
          <m:sSub>
            <m:e>
              <m:r>
                <m:t>γ</m:t>
              </m:r>
            </m:e>
            <m:sub>
              <m:r>
                <m:t>i</m:t>
              </m:r>
            </m:sub>
          </m:sSub>
          <m:d>
            <m:dPr>
              <m:begChr m:val="("/>
              <m:endChr m:val=")"/>
              <m:sepChr m:val=""/>
              <m:grow/>
            </m:dPr>
            <m:e>
              <m:r>
                <m:t>t</m:t>
              </m:r>
            </m:e>
          </m:d>
          <m:sSub>
            <m:e>
              <m:r>
                <m:t>I</m:t>
              </m:r>
            </m:e>
            <m:sub>
              <m:r>
                <m:t>i</m:t>
              </m:r>
            </m:sub>
          </m:sSub>
        </m:oMath>
      </m:oMathPara>
    </w:p>
    <w:p>
      <w:pPr>
        <w:spacing w:before="0" w:after="60"/>
        <w:jc w:val="right"/>
      </w:pPr>
      <w:r>
        <w:rPr>
          <w:sz w:val="14"/>
        </w:rPr>
        <w:t>(1)</w:t>
      </w:r>
    </w:p>
    <w:p>
      <w:pPr>
        <w:pStyle w:val="FirstParagraph"/>
      </w:pPr>
      <m:oMathPara>
        <m:oMathParaPr>
          <m:jc m:val="center"/>
        </m:oMathParaPr>
        <m:oMath>
          <m:r>
            <m:t>C</m:t>
          </m:r>
          <m:d>
            <m:dPr>
              <m:begChr m:val="("/>
              <m:endChr m:val=")"/>
              <m:sepChr m:val=""/>
              <m:grow/>
            </m:dPr>
            <m:e>
              <m:r>
                <m:t>t</m:t>
              </m:r>
            </m:e>
          </m:d>
          <m:r>
            <m:rPr>
              <m:sty m:val="p"/>
            </m:rPr>
            <m:t>=</m:t>
          </m:r>
          <m:r>
            <m:rPr>
              <m:sty m:val="p"/>
            </m:rPr>
            <m:t>I</m:t>
          </m:r>
          <m:r>
            <m:rPr>
              <m:sty m:val="p"/>
            </m:rPr>
            <m:t>d</m:t>
          </m:r>
          <m:r>
            <m:rPr>
              <m:sty m:val="p"/>
            </m:rPr>
            <m:t>+</m:t>
          </m:r>
          <m:r>
            <m:t>κ</m:t>
          </m:r>
          <m:sSub>
            <m:e>
              <m:r>
                <m:t>τ</m:t>
              </m:r>
            </m:e>
            <m:sub>
              <m:r>
                <m:t>0</m:t>
              </m:r>
            </m:sub>
          </m:sSub>
          <m:r>
            <m:t>M</m:t>
          </m:r>
          <m:d>
            <m:dPr>
              <m:begChr m:val="("/>
              <m:endChr m:val=")"/>
              <m:sepChr m:val=""/>
              <m:grow/>
            </m:dPr>
            <m:e>
              <m:r>
                <m:t>t</m:t>
              </m:r>
            </m:e>
          </m:d>
          <m:r>
            <m:rPr>
              <m:sty m:val="p"/>
            </m:rPr>
            <m:t>,</m:t>
          </m:r>
          <m:r>
            <m:t>  </m:t>
          </m:r>
          <m:sSub>
            <m:e>
              <m:r>
                <m:t>S</m:t>
              </m:r>
            </m:e>
            <m:sub>
              <m:r>
                <m:t>i</m:t>
              </m:r>
            </m:sub>
          </m:sSub>
          <m:r>
            <m:rPr>
              <m:sty m:val="p"/>
            </m:rPr>
            <m:t>=</m:t>
          </m:r>
          <m:sSub>
            <m:e>
              <m:r>
                <m:t>N</m:t>
              </m:r>
            </m:e>
            <m:sub>
              <m:r>
                <m:t>i</m:t>
              </m:r>
            </m:sub>
          </m:sSub>
          <m:r>
            <m:rPr>
              <m:sty m:val="p"/>
            </m:rPr>
            <m:t>−</m:t>
          </m:r>
          <m:sSub>
            <m:e>
              <m:r>
                <m:t>I</m:t>
              </m:r>
            </m:e>
            <m:sub>
              <m:r>
                <m:t>i</m:t>
              </m:r>
            </m:sub>
          </m:sSub>
          <m:r>
            <m:rPr>
              <m:sty m:val="p"/>
            </m:rPr>
            <m:t>,</m:t>
          </m:r>
          <m:r>
            <m:t> </m:t>
          </m:r>
          <m:sSub>
            <m:e>
              <m:r>
                <m:t>x</m:t>
              </m:r>
            </m:e>
            <m:sub>
              <m:r>
                <m:t>i</m:t>
              </m:r>
            </m:sub>
          </m:sSub>
          <m:r>
            <m:rPr>
              <m:sty m:val="p"/>
            </m:rPr>
            <m:t>=</m:t>
          </m:r>
          <m:sSub>
            <m:e>
              <m:r>
                <m:t>I</m:t>
              </m:r>
            </m:e>
            <m:sub>
              <m:r>
                <m:t>i</m:t>
              </m:r>
            </m:sub>
          </m:sSub>
          <m:r>
            <m:rPr>
              <m:sty m:val="p"/>
            </m:rPr>
            <m:t>/</m:t>
          </m:r>
          <m:sSub>
            <m:e>
              <m:r>
                <m:t>N</m:t>
              </m:r>
            </m:e>
            <m:sub>
              <m:r>
                <m:t>i</m:t>
              </m:r>
            </m:sub>
          </m:sSub>
        </m:oMath>
      </m:oMathPara>
    </w:p>
    <w:p>
      <w:pPr>
        <w:spacing w:before="0" w:after="60"/>
        <w:jc w:val="right"/>
      </w:pPr>
      <w:r>
        <w:rPr>
          <w:sz w:val="14"/>
        </w:rPr>
        <w:t>(2)</w:t>
      </w:r>
    </w:p>
    <w:p>
      <w:pPr>
        <w:pStyle w:val="FirstParagraph"/>
      </w:pPr>
      <m:oMathPara>
        <m:oMathParaPr>
          <m:jc m:val="center"/>
        </m:oMathParaPr>
        <m:oMath>
          <m:sSub>
            <m:e>
              <m:r>
                <m:t>R</m:t>
              </m:r>
            </m:e>
            <m:sub>
              <m:r>
                <m:t>d</m:t>
              </m:r>
            </m:sub>
          </m:sSub>
          <m:d>
            <m:dPr>
              <m:begChr m:val="("/>
              <m:endChr m:val=")"/>
              <m:sepChr m:val=""/>
              <m:grow/>
            </m:dPr>
            <m:e>
              <m:r>
                <m:t>t</m:t>
              </m:r>
            </m:e>
          </m:d>
          <m:r>
            <m:rPr>
              <m:sty m:val="p"/>
            </m:rPr>
            <m:t>=</m:t>
          </m:r>
          <m:r>
            <m:t>ρ</m:t>
          </m:r>
          <m:r>
            <m:t>​</m:t>
          </m:r>
          <m:d>
            <m:dPr>
              <m:begChr m:val="["/>
              <m:endChr m:val="]"/>
              <m:sepChr m:val=""/>
              <m:grow/>
            </m:dPr>
            <m:e>
              <m:r>
                <m:rPr>
                  <m:sty m:val="p"/>
                </m:rPr>
                <m:t>diag</m:t>
              </m:r>
              <m:r>
                <m:t>​</m:t>
              </m:r>
              <m:d>
                <m:dPr>
                  <m:begChr m:val="("/>
                  <m:endChr m:val=")"/>
                  <m:sepChr m:val=""/>
                  <m:grow/>
                </m:dPr>
                <m:e>
                  <m:sSub>
                    <m:e>
                      <m:r>
                        <m:t>β</m:t>
                      </m:r>
                    </m:e>
                    <m:sub>
                      <m:r>
                        <m:t>i</m:t>
                      </m:r>
                    </m:sub>
                  </m:sSub>
                  <m:d>
                    <m:dPr>
                      <m:begChr m:val="("/>
                      <m:endChr m:val=")"/>
                      <m:sepChr m:val=""/>
                      <m:grow/>
                    </m:dPr>
                    <m:e>
                      <m:r>
                        <m:t>t</m:t>
                      </m:r>
                    </m:e>
                  </m:d>
                  <m:d>
                    <m:dPr>
                      <m:begChr m:val="("/>
                      <m:endChr m:val=")"/>
                      <m:sepChr m:val=""/>
                      <m:grow/>
                    </m:dPr>
                    <m:e>
                      <m:r>
                        <m:t>1</m:t>
                      </m:r>
                      <m:r>
                        <m:rPr>
                          <m:sty m:val="p"/>
                        </m:rPr>
                        <m:t>−</m:t>
                      </m:r>
                      <m:sSub>
                        <m:e>
                          <m:r>
                            <m:t>x</m:t>
                          </m:r>
                        </m:e>
                        <m:sub>
                          <m:r>
                            <m:t>i</m:t>
                          </m:r>
                        </m:sub>
                      </m:sSub>
                      <m:d>
                        <m:dPr>
                          <m:begChr m:val="("/>
                          <m:endChr m:val=")"/>
                          <m:sepChr m:val=""/>
                          <m:grow/>
                        </m:dPr>
                        <m:e>
                          <m:r>
                            <m:t>t</m:t>
                          </m:r>
                        </m:e>
                      </m:d>
                    </m:e>
                  </m:d>
                </m:e>
              </m:d>
              <m:r>
                <m:t>C</m:t>
              </m:r>
              <m:d>
                <m:dPr>
                  <m:begChr m:val="("/>
                  <m:endChr m:val=")"/>
                  <m:sepChr m:val=""/>
                  <m:grow/>
                </m:dPr>
                <m:e>
                  <m:r>
                    <m:t>t</m:t>
                  </m:r>
                </m:e>
              </m:d>
              <m:r>
                <m:t>Γ</m:t>
              </m:r>
              <m:sSup>
                <m:e>
                  <m:d>
                    <m:dPr>
                      <m:begChr m:val="("/>
                      <m:endChr m:val=")"/>
                      <m:sepChr m:val=""/>
                      <m:grow/>
                    </m:dPr>
                    <m:e>
                      <m:r>
                        <m:t>t</m:t>
                      </m:r>
                    </m:e>
                  </m:d>
                </m:e>
                <m:sup>
                  <m:r>
                    <m:rPr>
                      <m:sty m:val="p"/>
                    </m:rPr>
                    <m:t>−</m:t>
                  </m:r>
                  <m:r>
                    <m:t>1</m:t>
                  </m:r>
                </m:sup>
              </m:sSup>
            </m:e>
          </m:d>
        </m:oMath>
      </m:oMathPara>
    </w:p>
    <w:p>
      <w:pPr>
        <w:spacing w:before="0" w:after="60"/>
        <w:jc w:val="right"/>
      </w:pPr>
      <w:r>
        <w:rPr>
          <w:sz w:val="14"/>
        </w:rPr>
        <w:t>(3)</w:t>
      </w:r>
    </w:p>
    <w:tbl>
      <w:tblPr>
        <w:tblStyle w:val="TableGrid"/>
        <w:tblW w:type="auto" w:w="0"/>
        <w:jc w:val="center"/>
        <w:tblLayout w:type="fixed"/>
        <w:tblLook w:firstColumn="1" w:firstRow="1" w:lastColumn="0" w:lastRow="0" w:noHBand="0" w:noVBand="1" w:val="04A0"/>
      </w:tblPr>
      <w:tblGrid>
        <w:gridCol w:w="1871"/>
        <w:gridCol w:w="8107"/>
      </w:tblGrid>
      <w:tr>
        <w:trPr>
          <w:cantSplit/>
          <w:tblHeader/>
        </w:trPr>
        <w:tc>
          <w:tcPr>
            <w:tcW w:type="dxa" w:w="1871"/>
            <w:vAlign w:val="center"/>
            <w:tcMar>
              <w:top w:w="75" w:type="dxa"/>
              <w:left w:w="75" w:type="dxa"/>
              <w:bottom w:w="75" w:type="dxa"/>
              <w:right w:w="75" w:type="dxa"/>
            </w:tcMar>
            <w:shd w:fill="EDF3F7"/>
          </w:tcPr>
          <w:p>
            <w:pPr>
              <w:spacing w:before="0" w:after="40" w:line="274" w:lineRule="auto"/>
            </w:pPr>
            <w:r>
              <w:rPr>
                <w:b/>
                <w:sz w:val="16"/>
              </w:rPr>
              <w:t>기호</w:t>
            </w:r>
          </w:p>
        </w:tc>
        <w:tc>
          <w:tcPr>
            <w:tcW w:type="dxa" w:w="8107"/>
            <w:vAlign w:val="center"/>
            <w:tcMar>
              <w:top w:w="75" w:type="dxa"/>
              <w:left w:w="75" w:type="dxa"/>
              <w:bottom w:w="75" w:type="dxa"/>
              <w:right w:w="75" w:type="dxa"/>
            </w:tcMar>
            <w:shd w:fill="EDF3F7"/>
          </w:tcPr>
          <w:p>
            <w:pPr>
              <w:spacing w:before="0" w:after="40" w:line="274" w:lineRule="auto"/>
            </w:pPr>
            <w:r>
              <w:rPr>
                <w:b/>
                <w:sz w:val="16"/>
              </w:rPr>
              <w:t>뜻·단위</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6"/>
              </w:rPr>
              <w:t>Iᵢ, Nᵢ, xᵢ</w:t>
            </w:r>
          </w:p>
        </w:tc>
        <w:tc>
          <w:tcPr>
            <w:tcW w:type="dxa" w:w="8107"/>
            <w:vAlign w:val="center"/>
            <w:tcMar>
              <w:top w:w="75" w:type="dxa"/>
              <w:left w:w="75" w:type="dxa"/>
              <w:bottom w:w="75" w:type="dxa"/>
              <w:right w:w="75" w:type="dxa"/>
            </w:tcMar>
          </w:tcPr>
          <w:p>
            <w:pPr>
              <w:spacing w:before="0" w:after="40" w:line="274" w:lineRule="auto"/>
            </w:pPr>
            <w:r>
              <w:rPr>
                <w:b w:val="0"/>
                <w:sz w:val="16"/>
              </w:rPr>
              <w:t>지연·총 작업 수(공통 작업단위), 지연 비율(무차원). 0≤Iᵢ≤Nᵢ, 단기 고정집단 가정.</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6"/>
              </w:rPr>
              <w:t>βᵢ, γᵢ</w:t>
            </w:r>
          </w:p>
        </w:tc>
        <w:tc>
          <w:tcPr>
            <w:tcW w:type="dxa" w:w="8107"/>
            <w:vAlign w:val="center"/>
            <w:tcMar>
              <w:top w:w="75" w:type="dxa"/>
              <w:left w:w="75" w:type="dxa"/>
              <w:bottom w:w="75" w:type="dxa"/>
              <w:right w:w="75" w:type="dxa"/>
            </w:tcMar>
          </w:tcPr>
          <w:p>
            <w:pPr>
              <w:spacing w:before="0" w:after="40" w:line="274" w:lineRule="auto"/>
            </w:pPr>
            <w:r>
              <w:rPr>
                <w:b w:val="0"/>
                <w:sz w:val="16"/>
              </w:rPr>
              <w:t>전파율·지연 회복률(h⁻¹). γ는 선석 처리량과 다름.</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6"/>
              </w:rPr>
              <w:t>Mᵢⱼ, τ₀, κ, Cᵢⱼ</w:t>
            </w:r>
          </w:p>
        </w:tc>
        <w:tc>
          <w:tcPr>
            <w:tcW w:type="dxa" w:w="8107"/>
            <w:vAlign w:val="center"/>
            <w:tcMar>
              <w:top w:w="75" w:type="dxa"/>
              <w:left w:w="75" w:type="dxa"/>
              <w:bottom w:w="75" w:type="dxa"/>
              <w:right w:w="75" w:type="dxa"/>
            </w:tcMar>
          </w:tcPr>
          <w:p>
            <w:pPr>
              <w:spacing w:before="0" w:after="40" w:line="274" w:lineRule="auto"/>
            </w:pPr>
            <w:r>
              <w:rPr>
                <w:b w:val="0"/>
                <w:sz w:val="16"/>
              </w:rPr>
              <w:t>j→i 연결 영향률(h⁻¹), 기준시간(h), 배율·결합계수(무차원).</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6"/>
              </w:rPr>
              <w:t>Γ, ρ, R_d</w:t>
            </w:r>
          </w:p>
        </w:tc>
        <w:tc>
          <w:tcPr>
            <w:tcW w:type="dxa" w:w="8107"/>
            <w:vAlign w:val="center"/>
            <w:tcMar>
              <w:top w:w="75" w:type="dxa"/>
              <w:left w:w="75" w:type="dxa"/>
              <w:bottom w:w="75" w:type="dxa"/>
              <w:right w:w="75" w:type="dxa"/>
            </w:tcMar>
          </w:tcPr>
          <w:p>
            <w:pPr>
              <w:spacing w:before="0" w:after="40" w:line="274" w:lineRule="auto"/>
            </w:pPr>
            <w:r>
              <w:rPr>
                <w:b w:val="0"/>
                <w:sz w:val="16"/>
              </w:rPr>
              <w:t>회복률 대각행렬, 스펙트럼 반지름, 현재 상태의 전파 지표. 개별 마감 실패확률이 아님.</w:t>
            </w:r>
          </w:p>
        </w:tc>
      </w:tr>
    </w:tbl>
    <w:p>
      <w:pPr>
        <w:spacing w:after="0"/>
      </w:pPr>
    </w:p>
    <w:p>
      <w:r>
        <w:rPr>
          <w:b w:val="0"/>
          <w:sz w:val="17"/>
        </w:rPr>
        <w:t>모델의 지연 경로를 선석 대기·화물 준비·육상 처리로 전달한다. 지연 작업 수와 선박 대기열 수는 별개이며, 연결식은 추가 가정으로 표시한다. 확정된 원래 납기를 뒤로 옮겨 성공률을 높인 것으로 계산하지 않는다.</w:t>
      </w:r>
    </w:p>
    <w:p>
      <w:r>
        <w:br w:type="page"/>
      </w:r>
    </w:p>
    <w:p>
      <w:pPr>
        <w:pStyle w:val="Heading1"/>
      </w:pPr>
      <w:r>
        <w:rPr>
          <w:b w:val="0"/>
        </w:rPr>
        <w:t>나-2. 멀티도메인 기술 융합 방안</w:t>
      </w:r>
    </w:p>
    <w:tbl>
      <w:tblPr>
        <w:tblStyle w:val="TableGrid"/>
        <w:tblW w:type="auto" w:w="0"/>
        <w:jc w:val="center"/>
        <w:tblLayout w:type="fixed"/>
        <w:tblLook w:firstColumn="1" w:firstRow="1" w:lastColumn="0" w:lastRow="0" w:noHBand="0" w:noVBand="1" w:val="04A0"/>
      </w:tblPr>
      <w:tblGrid>
        <w:gridCol w:w="1304"/>
        <w:gridCol w:w="4082"/>
        <w:gridCol w:w="4592"/>
      </w:tblGrid>
      <w:tr>
        <w:trPr>
          <w:cantSplit/>
          <w:tblHeader/>
        </w:trPr>
        <w:tc>
          <w:tcPr>
            <w:tcW w:type="dxa" w:w="1304"/>
            <w:vAlign w:val="center"/>
            <w:tcMar>
              <w:top w:w="75" w:type="dxa"/>
              <w:left w:w="75" w:type="dxa"/>
              <w:bottom w:w="75" w:type="dxa"/>
              <w:right w:w="75" w:type="dxa"/>
            </w:tcMar>
            <w:shd w:fill="EDF3F7"/>
          </w:tcPr>
          <w:p>
            <w:pPr>
              <w:spacing w:before="0" w:after="40" w:line="274" w:lineRule="auto"/>
            </w:pPr>
            <w:r>
              <w:rPr>
                <w:b/>
                <w:sz w:val="17"/>
              </w:rPr>
              <w:t>영역</w:t>
            </w:r>
          </w:p>
        </w:tc>
        <w:tc>
          <w:tcPr>
            <w:tcW w:type="dxa" w:w="4082"/>
            <w:vAlign w:val="center"/>
            <w:tcMar>
              <w:top w:w="75" w:type="dxa"/>
              <w:left w:w="75" w:type="dxa"/>
              <w:bottom w:w="75" w:type="dxa"/>
              <w:right w:w="75" w:type="dxa"/>
            </w:tcMar>
            <w:shd w:fill="EDF3F7"/>
          </w:tcPr>
          <w:p>
            <w:pPr>
              <w:spacing w:before="0" w:after="40" w:line="274" w:lineRule="auto"/>
            </w:pPr>
            <w:r>
              <w:rPr>
                <w:b/>
                <w:sz w:val="17"/>
              </w:rPr>
              <w:t>입력·기술</w:t>
            </w:r>
          </w:p>
        </w:tc>
        <w:tc>
          <w:tcPr>
            <w:tcW w:type="dxa" w:w="4592"/>
            <w:vAlign w:val="center"/>
            <w:tcMar>
              <w:top w:w="75" w:type="dxa"/>
              <w:left w:w="75" w:type="dxa"/>
              <w:bottom w:w="75" w:type="dxa"/>
              <w:right w:w="75" w:type="dxa"/>
            </w:tcMar>
            <w:shd w:fill="EDF3F7"/>
          </w:tcPr>
          <w:p>
            <w:pPr>
              <w:spacing w:before="0" w:after="40" w:line="274" w:lineRule="auto"/>
            </w:pPr>
            <w:r>
              <w:rPr>
                <w:b/>
                <w:sz w:val="17"/>
              </w:rPr>
              <w:t>운영 결과로의 연결</w:t>
            </w:r>
          </w:p>
        </w:tc>
      </w:tr>
      <w:tr>
        <w:trPr>
          <w:cantSplit/>
        </w:trPr>
        <w:tc>
          <w:tcPr>
            <w:tcW w:type="dxa" w:w="1304"/>
            <w:vAlign w:val="center"/>
            <w:tcMar>
              <w:top w:w="75" w:type="dxa"/>
              <w:left w:w="75" w:type="dxa"/>
              <w:bottom w:w="75" w:type="dxa"/>
              <w:right w:w="75" w:type="dxa"/>
            </w:tcMar>
          </w:tcPr>
          <w:p>
            <w:pPr>
              <w:spacing w:before="0" w:after="40" w:line="274" w:lineRule="auto"/>
            </w:pPr>
            <w:r>
              <w:rPr>
                <w:b w:val="0"/>
                <w:sz w:val="17"/>
              </w:rPr>
              <w:t>해상 ◎</w:t>
            </w:r>
          </w:p>
        </w:tc>
        <w:tc>
          <w:tcPr>
            <w:tcW w:type="dxa" w:w="4082"/>
            <w:vAlign w:val="center"/>
            <w:tcMar>
              <w:top w:w="75" w:type="dxa"/>
              <w:left w:w="75" w:type="dxa"/>
              <w:bottom w:w="75" w:type="dxa"/>
              <w:right w:w="75" w:type="dxa"/>
            </w:tcMar>
          </w:tcPr>
          <w:p>
            <w:pPr>
              <w:spacing w:before="0" w:after="40" w:line="274" w:lineRule="auto"/>
            </w:pPr>
            <w:r>
              <w:rPr>
                <w:b w:val="0"/>
                <w:sz w:val="17"/>
              </w:rPr>
              <w:t>입항·작업·지연 관측, 선석 도착·서비스율</w:t>
            </w:r>
          </w:p>
        </w:tc>
        <w:tc>
          <w:tcPr>
            <w:tcW w:type="dxa" w:w="4592"/>
            <w:vAlign w:val="center"/>
            <w:tcMar>
              <w:top w:w="75" w:type="dxa"/>
              <w:left w:w="75" w:type="dxa"/>
              <w:bottom w:w="75" w:type="dxa"/>
              <w:right w:w="75" w:type="dxa"/>
            </w:tcMar>
          </w:tcPr>
          <w:p>
            <w:pPr>
              <w:spacing w:before="0" w:after="40" w:line="274" w:lineRule="auto"/>
            </w:pPr>
            <w:r>
              <w:rPr>
                <w:b w:val="0"/>
                <w:sz w:val="17"/>
              </w:rPr>
              <w:t>SIS 상태·선석 대기 → 대상 선박 작업 → 화물 준비</w:t>
            </w:r>
          </w:p>
        </w:tc>
      </w:tr>
      <w:tr>
        <w:trPr>
          <w:cantSplit/>
        </w:trPr>
        <w:tc>
          <w:tcPr>
            <w:tcW w:type="dxa" w:w="1304"/>
            <w:vAlign w:val="center"/>
            <w:tcMar>
              <w:top w:w="75" w:type="dxa"/>
              <w:left w:w="75" w:type="dxa"/>
              <w:bottom w:w="75" w:type="dxa"/>
              <w:right w:w="75" w:type="dxa"/>
            </w:tcMar>
          </w:tcPr>
          <w:p>
            <w:pPr>
              <w:spacing w:before="0" w:after="40" w:line="274" w:lineRule="auto"/>
            </w:pPr>
            <w:r>
              <w:rPr>
                <w:b w:val="0"/>
                <w:sz w:val="17"/>
              </w:rPr>
              <w:t>육상</w:t>
            </w:r>
          </w:p>
        </w:tc>
        <w:tc>
          <w:tcPr>
            <w:tcW w:type="dxa" w:w="4082"/>
            <w:vAlign w:val="center"/>
            <w:tcMar>
              <w:top w:w="75" w:type="dxa"/>
              <w:left w:w="75" w:type="dxa"/>
              <w:bottom w:w="75" w:type="dxa"/>
              <w:right w:w="75" w:type="dxa"/>
            </w:tcMar>
          </w:tcPr>
          <w:p>
            <w:pPr>
              <w:spacing w:before="0" w:after="40" w:line="274" w:lineRule="auto"/>
            </w:pPr>
            <w:r>
              <w:rPr>
                <w:b w:val="0"/>
                <w:sz w:val="17"/>
              </w:rPr>
              <w:t>차량 계획, 반출 처리·이동·수령 마감</w:t>
            </w:r>
          </w:p>
        </w:tc>
        <w:tc>
          <w:tcPr>
            <w:tcW w:type="dxa" w:w="4592"/>
            <w:vAlign w:val="center"/>
            <w:tcMar>
              <w:top w:w="75" w:type="dxa"/>
              <w:left w:w="75" w:type="dxa"/>
              <w:bottom w:w="75" w:type="dxa"/>
              <w:right w:w="75" w:type="dxa"/>
            </w:tcMar>
          </w:tcPr>
          <w:p>
            <w:pPr>
              <w:spacing w:before="0" w:after="40" w:line="274" w:lineRule="auto"/>
            </w:pPr>
            <w:r>
              <w:rPr>
                <w:b w:val="0"/>
                <w:sz w:val="17"/>
              </w:rPr>
              <w:t>준비·차량 조건 → 반출·도착 → 실행 가능한 배차 비교</w:t>
            </w:r>
          </w:p>
        </w:tc>
      </w:tr>
    </w:tbl>
    <w:p>
      <w:pPr>
        <w:spacing w:after="0"/>
      </w:pPr>
    </w:p>
    <w:tbl>
      <w:tblPr>
        <w:tblStyle w:val="TableGrid"/>
        <w:tblW w:type="auto" w:w="0"/>
        <w:jc w:val="center"/>
        <w:tblLayout w:type="fixed"/>
        <w:tblLook w:firstColumn="1" w:firstRow="1" w:lastColumn="0" w:lastRow="0" w:noHBand="0" w:noVBand="1" w:val="04A0"/>
      </w:tblPr>
      <w:tblGrid>
        <w:gridCol w:w="1928"/>
        <w:gridCol w:w="8050"/>
      </w:tblGrid>
      <w:tr>
        <w:trPr>
          <w:cantSplit/>
          <w:tblHeader/>
        </w:trPr>
        <w:tc>
          <w:tcPr>
            <w:tcW w:type="dxa" w:w="1928"/>
            <w:vAlign w:val="center"/>
            <w:tcMar>
              <w:top w:w="75" w:type="dxa"/>
              <w:left w:w="75" w:type="dxa"/>
              <w:bottom w:w="75" w:type="dxa"/>
              <w:right w:w="75" w:type="dxa"/>
            </w:tcMar>
            <w:shd w:fill="EDF3F7"/>
          </w:tcPr>
          <w:p>
            <w:pPr>
              <w:spacing w:before="0" w:after="40" w:line="274" w:lineRule="auto"/>
            </w:pPr>
            <w:r>
              <w:rPr>
                <w:b/>
                <w:sz w:val="17"/>
              </w:rPr>
              <w:t>이번 구현 모듈</w:t>
            </w:r>
          </w:p>
        </w:tc>
        <w:tc>
          <w:tcPr>
            <w:tcW w:type="dxa" w:w="8050"/>
            <w:vAlign w:val="center"/>
            <w:tcMar>
              <w:top w:w="75" w:type="dxa"/>
              <w:left w:w="75" w:type="dxa"/>
              <w:bottom w:w="75" w:type="dxa"/>
              <w:right w:w="75" w:type="dxa"/>
            </w:tcMar>
            <w:shd w:fill="EDF3F7"/>
          </w:tcPr>
          <w:p>
            <w:pPr>
              <w:spacing w:before="0" w:after="40" w:line="274" w:lineRule="auto"/>
            </w:pPr>
            <w:r>
              <w:rPr>
                <w:b/>
                <w:sz w:val="17"/>
              </w:rPr>
              <w:t>역할과 완료 확인</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로그-OU</w:t>
            </w:r>
          </w:p>
        </w:tc>
        <w:tc>
          <w:tcPr>
            <w:tcW w:type="dxa" w:w="8050"/>
            <w:vAlign w:val="center"/>
            <w:tcMar>
              <w:top w:w="75" w:type="dxa"/>
              <w:left w:w="75" w:type="dxa"/>
              <w:bottom w:w="75" w:type="dxa"/>
              <w:right w:w="75" w:type="dxa"/>
            </w:tcMar>
          </w:tcPr>
          <w:p>
            <w:pPr>
              <w:spacing w:before="0" w:after="40" w:line="274" w:lineRule="auto"/>
            </w:pPr>
            <w:r>
              <w:rPr>
                <w:b w:val="0"/>
                <w:sz w:val="17"/>
              </w:rPr>
              <w:t>전파계수의 양의 확률변동을 생성. 무잡음 기준·난수 재현 검사.</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입자필터</w:t>
            </w:r>
          </w:p>
        </w:tc>
        <w:tc>
          <w:tcPr>
            <w:tcW w:type="dxa" w:w="8050"/>
            <w:vAlign w:val="center"/>
            <w:tcMar>
              <w:top w:w="75" w:type="dxa"/>
              <w:left w:w="75" w:type="dxa"/>
              <w:bottom w:w="75" w:type="dxa"/>
              <w:right w:w="75" w:type="dxa"/>
            </w:tcMar>
          </w:tcPr>
          <w:p>
            <w:pPr>
              <w:spacing w:before="0" w:after="40" w:line="274" w:lineRule="auto"/>
            </w:pPr>
            <w:r>
              <w:rPr>
                <w:b w:val="0"/>
                <w:sz w:val="17"/>
              </w:rPr>
              <w:t>관측 종류에 맞는 가능도로 상태·가중치 갱신. 누락·불가능 관측 경고.</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시간가변 대기</w:t>
            </w:r>
          </w:p>
        </w:tc>
        <w:tc>
          <w:tcPr>
            <w:tcW w:type="dxa" w:w="8050"/>
            <w:vAlign w:val="center"/>
            <w:tcMar>
              <w:top w:w="75" w:type="dxa"/>
              <w:left w:w="75" w:type="dxa"/>
              <w:bottom w:w="75" w:type="dxa"/>
              <w:right w:w="75" w:type="dxa"/>
            </w:tcMar>
          </w:tcPr>
          <w:p>
            <w:pPr>
              <w:spacing w:before="0" w:after="40" w:line="274" w:lineRule="auto"/>
            </w:pPr>
            <w:r>
              <w:rPr>
                <w:b w:val="0"/>
                <w:sz w:val="17"/>
              </w:rPr>
              <w:t>선석 시스템의 작업 수 분포와 대상 선박의 대기/완료시간 계산. 확률 보존·범위 절단 점검.</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계수 추정·학습</w:t>
            </w:r>
          </w:p>
        </w:tc>
        <w:tc>
          <w:tcPr>
            <w:tcW w:type="dxa" w:w="8050"/>
            <w:vAlign w:val="center"/>
            <w:tcMar>
              <w:top w:w="75" w:type="dxa"/>
              <w:left w:w="75" w:type="dxa"/>
              <w:bottom w:w="75" w:type="dxa"/>
              <w:right w:w="75" w:type="dxa"/>
            </w:tcMar>
          </w:tcPr>
          <w:p>
            <w:pPr>
              <w:spacing w:before="0" w:after="40" w:line="274" w:lineRule="auto"/>
            </w:pPr>
            <w:r>
              <w:rPr>
                <w:b w:val="0"/>
                <w:sz w:val="17"/>
              </w:rPr>
              <w:t>현재 이용 가능한 설명변수에서 계수를 추정하고 이후 구간 평가. 상수 추정과 학습 모델 구분.</w:t>
            </w:r>
          </w:p>
        </w:tc>
      </w:tr>
    </w:tbl>
    <w:p>
      <w:pPr>
        <w:spacing w:after="0"/>
      </w:pPr>
    </w:p>
    <w:p>
      <w:pPr>
        <w:pStyle w:val="Heading2"/>
      </w:pPr>
      <w:r>
        <w:rPr>
          <w:b w:val="0"/>
        </w:rPr>
        <w:t>나-3. 컨셉 개념도</w:t>
      </w:r>
    </w:p>
    <w:tbl>
      <w:tblPr>
        <w:tblStyle w:val="TableGrid"/>
        <w:tblW w:type="auto" w:w="0"/>
        <w:jc w:val="center"/>
        <w:tblLayout w:type="fixed"/>
        <w:tblLook w:firstColumn="1" w:firstRow="1" w:lastColumn="0" w:lastRow="0" w:noHBand="0" w:noVBand="1" w:val="04A0"/>
      </w:tblPr>
      <w:tblGrid>
        <w:gridCol w:w="9978"/>
      </w:tblGrid>
      <w:tr>
        <w:trPr>
          <w:cantSplit/>
        </w:trPr>
        <w:tc>
          <w:tcPr>
            <w:tcW w:type="dxa" w:w="9978"/>
            <w:vAlign w:val="center"/>
            <w:tcMar>
              <w:top w:w="75" w:type="dxa"/>
              <w:left w:w="75" w:type="dxa"/>
              <w:bottom w:w="75" w:type="dxa"/>
              <w:right w:w="75" w:type="dxa"/>
            </w:tcMar>
            <w:shd w:fill="EDF3F7"/>
            <w:shd w:fill="E8F2F1"/>
          </w:tcPr>
          <w:p>
            <w:pPr>
              <w:spacing w:before="0" w:after="40" w:line="274" w:lineRule="auto"/>
            </w:pPr>
            <w:r>
              <w:rPr>
                <w:b/>
                <w:sz w:val="18"/>
              </w:rPr>
              <w:t>자료·시나리오 → 계수 추정·SIS/OU → 관측 갱신(PF) → 대기·도착 → 대응 비교</w:t>
            </w:r>
          </w:p>
        </w:tc>
      </w:tr>
    </w:tbl>
    <w:p>
      <w:pPr>
        <w:spacing w:after="0"/>
      </w:pPr>
    </w:p>
    <w:p>
      <w:r>
        <w:rPr>
          <w:b w:val="0"/>
        </w:rPr>
        <w:t>사건 연결: 선박 도착 → 선석 대기 → 선박 작업 → 화물 준비 완료 → 차량 인수·반출 → 도로 이동 → 수령지 도착. 선석 대기는 화물 준비시각에 한 번만 반영한다. 웹은 입력·표시, Python API는 동일 계산 엔진을 호출한다.</w:t>
      </w:r>
    </w:p>
    <w:p>
      <w:pPr>
        <w:pStyle w:val="Heading2"/>
      </w:pPr>
      <w:r>
        <w:rPr>
          <w:b w:val="0"/>
        </w:rPr>
        <w:t>□ 자료 확보·불확실성·실행 실패 대응</w:t>
      </w:r>
    </w:p>
    <w:p>
      <w:r>
        <w:rPr>
          <w:b w:val="0"/>
        </w:rPr>
        <w:t>공개 기사·통계는 문제와 업무 설계의 근거이며 개별 학습자료를 대체하지 않는다. 신규 지연 사건 수와 현재 지연 수, 발생시각과 이용 가능시각을 분리한다. 미래 관측·사후 평활화는 실시간 경보에 넣지 않는다. 실측·추정·합성을 표시하고 실제 연결은 ID 대응과 이용권을 확인한다.</w:t>
      </w:r>
    </w:p>
    <w:p>
      <w:r>
        <w:rPr>
          <w:b w:val="0"/>
        </w:rPr>
        <w:t>관측·추정 실패 시 이전 추천을 지우고 경고한다. 예약 미확인·차량 중복·변경 시한 경과는 추천에서 제외한다. 표본·운영로그 부족 시 합성자료로 모델 기능을 검증하되 현장 정확도·절감 실적이라고 쓰지 않는다. 로컬 실행은 인터넷 없이 새 계산까지 시험한다.</w:t>
      </w:r>
    </w:p>
    <w:p>
      <w:r>
        <w:br w:type="page"/>
      </w:r>
    </w:p>
    <w:p>
      <w:pPr>
        <w:pStyle w:val="Heading1"/>
      </w:pPr>
      <w:r>
        <w:rPr>
          <w:b w:val="0"/>
        </w:rPr>
        <w:t>다. 최종성과물 개발 전략 및 계획</w:t>
      </w:r>
    </w:p>
    <w:tbl>
      <w:tblPr>
        <w:tblStyle w:val="TableGrid"/>
        <w:tblW w:type="auto" w:w="0"/>
        <w:jc w:val="center"/>
        <w:tblLayout w:type="fixed"/>
        <w:tblLook w:firstColumn="1" w:firstRow="1" w:lastColumn="0" w:lastRow="0" w:noHBand="0" w:noVBand="1" w:val="04A0"/>
      </w:tblPr>
      <w:tblGrid>
        <w:gridCol w:w="1701"/>
        <w:gridCol w:w="8277"/>
      </w:tblGrid>
      <w:tr>
        <w:trPr>
          <w:cantSplit/>
          <w:tblHeader/>
        </w:trPr>
        <w:tc>
          <w:tcPr>
            <w:tcW w:type="dxa" w:w="1701"/>
            <w:vAlign w:val="center"/>
            <w:tcMar>
              <w:top w:w="75" w:type="dxa"/>
              <w:left w:w="75" w:type="dxa"/>
              <w:bottom w:w="75" w:type="dxa"/>
              <w:right w:w="75" w:type="dxa"/>
            </w:tcMar>
            <w:shd w:fill="EDF3F7"/>
          </w:tcPr>
          <w:p>
            <w:pPr>
              <w:spacing w:before="0" w:after="40" w:line="274" w:lineRule="auto"/>
            </w:pPr>
            <w:r>
              <w:rPr>
                <w:b/>
                <w:sz w:val="17"/>
              </w:rPr>
              <w:t>단계</w:t>
            </w:r>
          </w:p>
        </w:tc>
        <w:tc>
          <w:tcPr>
            <w:tcW w:type="dxa" w:w="8277"/>
            <w:vAlign w:val="center"/>
            <w:tcMar>
              <w:top w:w="75" w:type="dxa"/>
              <w:left w:w="75" w:type="dxa"/>
              <w:bottom w:w="75" w:type="dxa"/>
              <w:right w:w="75" w:type="dxa"/>
            </w:tcMar>
            <w:shd w:fill="EDF3F7"/>
          </w:tcPr>
          <w:p>
            <w:pPr>
              <w:spacing w:before="0" w:after="40" w:line="274" w:lineRule="auto"/>
            </w:pPr>
            <w:r>
              <w:rPr>
                <w:b/>
                <w:sz w:val="17"/>
              </w:rPr>
              <w:t>이번 대회 수행 범위·완료 기준</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17"/>
              </w:rPr>
              <w:t>사전 준비</w:t>
            </w:r>
          </w:p>
        </w:tc>
        <w:tc>
          <w:tcPr>
            <w:tcW w:type="dxa" w:w="8277"/>
            <w:vAlign w:val="center"/>
            <w:tcMar>
              <w:top w:w="75" w:type="dxa"/>
              <w:left w:w="75" w:type="dxa"/>
              <w:bottom w:w="75" w:type="dxa"/>
              <w:right w:w="75" w:type="dxa"/>
            </w:tcMar>
          </w:tcPr>
          <w:p>
            <w:pPr>
              <w:spacing w:before="0" w:after="40" w:line="274" w:lineRule="auto"/>
            </w:pPr>
            <w:r>
              <w:rPr>
                <w:b w:val="0"/>
                <w:sz w:val="17"/>
              </w:rPr>
              <w:t>공개 근거·관측/단위·입출력 명세, 데이터 이용권·사전개발 허용 범위 확인</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17"/>
              </w:rPr>
              <w:t>본선 1일차</w:t>
            </w:r>
          </w:p>
        </w:tc>
        <w:tc>
          <w:tcPr>
            <w:tcW w:type="dxa" w:w="8277"/>
            <w:vAlign w:val="center"/>
            <w:tcMar>
              <w:top w:w="75" w:type="dxa"/>
              <w:left w:w="75" w:type="dxa"/>
              <w:bottom w:w="75" w:type="dxa"/>
              <w:right w:w="75" w:type="dxa"/>
            </w:tcMar>
          </w:tcPr>
          <w:p>
            <w:pPr>
              <w:spacing w:before="0" w:after="40" w:line="274" w:lineRule="auto"/>
            </w:pPr>
            <w:r>
              <w:rPr>
                <w:b w:val="0"/>
                <w:sz w:val="17"/>
              </w:rPr>
              <w:t>SIS·OU·필터·대기·계수 추정 통합, API에서 동일 결과 반환</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17"/>
              </w:rPr>
              <w:t>본선 2일차</w:t>
            </w:r>
          </w:p>
        </w:tc>
        <w:tc>
          <w:tcPr>
            <w:tcW w:type="dxa" w:w="8277"/>
            <w:vAlign w:val="center"/>
            <w:tcMar>
              <w:top w:w="75" w:type="dxa"/>
              <w:left w:w="75" w:type="dxa"/>
              <w:bottom w:w="75" w:type="dxa"/>
              <w:right w:w="75" w:type="dxa"/>
            </w:tcMar>
          </w:tcPr>
          <w:p>
            <w:pPr>
              <w:spacing w:before="0" w:after="40" w:line="274" w:lineRule="auto"/>
            </w:pPr>
            <w:r>
              <w:rPr>
                <w:b w:val="0"/>
                <w:sz w:val="17"/>
              </w:rPr>
              <w:t>웹에 관측 전후 상태·위험·후보 사유 표시, 온라인/로컬 실행 점검</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17"/>
              </w:rPr>
              <w:t>본선 3일차</w:t>
            </w:r>
          </w:p>
        </w:tc>
        <w:tc>
          <w:tcPr>
            <w:tcW w:type="dxa" w:w="8277"/>
            <w:vAlign w:val="center"/>
            <w:tcMar>
              <w:top w:w="75" w:type="dxa"/>
              <w:left w:w="75" w:type="dxa"/>
              <w:bottom w:w="75" w:type="dxa"/>
              <w:right w:w="75" w:type="dxa"/>
            </w:tcMar>
          </w:tcPr>
          <w:p>
            <w:pPr>
              <w:spacing w:before="0" w:after="40" w:line="274" w:lineRule="auto"/>
            </w:pPr>
            <w:r>
              <w:rPr>
                <w:b w:val="0"/>
                <w:sz w:val="17"/>
              </w:rPr>
              <w:t>해석해·시간간격·확률보존·제약 검사, 시간순 평가·민감도 및 발표 정리</w:t>
            </w:r>
          </w:p>
        </w:tc>
      </w:tr>
    </w:tbl>
    <w:p>
      <w:pPr>
        <w:spacing w:after="0"/>
      </w:pPr>
    </w:p>
    <w:p>
      <w:r>
        <w:rPr>
          <w:b w:val="0"/>
        </w:rPr>
        <w:t>4인 역할: 수리모델·통합 / 관측·자료·검증 / 웹·시각화 / 공개 업무근거·사업모델·발표. 본선 일정은 첨부 공고 기준이며 변경 공지를 재확인한다[A1]. 계획을 완료 실적으로 표시하지 않는다.</w:t>
      </w:r>
    </w:p>
    <w:p>
      <w:r>
        <w:rPr>
          <w:b w:val="0"/>
        </w:rPr>
        <w:t>검증은 해석해·교차 적분·고정 난수·상태 절단, 같은 정보의 단순 기준 비교, 추정에 쓰지 않은 이후 구간으로 구성한다. 위험 개선·비용만 개선·대응 불가·실행 제약 상황을 포함한다. 코드·문서·모델 버전을 일치시키고 실제 실행기록을 보존한다. 지금 단계의 모델 수치시험·웹 배포는 미실행이다.</w:t>
      </w:r>
    </w:p>
    <w:p>
      <w:pPr>
        <w:pStyle w:val="Heading2"/>
      </w:pPr>
      <w:r>
        <w:rPr>
          <w:b w:val="0"/>
        </w:rPr>
        <w:t>라. 비즈니스 모델 및 사업화 방향</w:t>
      </w:r>
    </w:p>
    <w:p>
      <w:r>
        <w:rPr>
          <w:b w:val="0"/>
        </w:rPr>
        <w:t>초기 사용자 가설은 내륙운송 위탁관리 담당자이며 실제 배차권자는 운송사일 수 있다. 자료 조회자·변경 승인자·비용 부담자·구매자를 분리해 검증한다. 구독은 사업장/관리건수 기준으로 검토하되 정해진 매출·가격은 제시하지 않는다.</w:t>
      </w:r>
    </w:p>
    <w:p>
      <w:r>
        <w:rPr>
          <w:b w:val="0"/>
        </w:rPr>
        <w:t>공개근거·합성 시제품 → 자료 이용권·연결 확인 → 제한 파일럿 → 입력 부담·반복 사용·구매자 편익 확인 → 유료 전환 순으로 추진한다. 인터뷰를 예선 필수조건으로 두지 않는다. 포워더·운송사·수령지의 정보와 승인 협력 구조를 설계하고 지역 지명만으로 전동·항공 특화기술까지 활용했다고 주장하지 않는다.</w:t>
      </w:r>
    </w:p>
    <w:p>
      <w:r>
        <w:rPr>
          <w:b w:val="0"/>
        </w:rPr>
        <w:t>기대효과는 불필요한 대기·변경과 납기 판단 부담의 감소다. 실제 비용·배출저감, 지불의사·협약·고객은 미검증으로 둔다. 실행 가능한 추천이 없어도 잔여 위험을 설명하는 것이 제품 가치다.</w:t>
      </w:r>
    </w:p>
    <w:p>
      <w:pPr>
        <w:pStyle w:val="Heading2"/>
      </w:pPr>
      <w:r>
        <w:rPr>
          <w:b w:val="0"/>
        </w:rPr>
        <w:t>출처</w:t>
      </w:r>
    </w:p>
    <w:p>
      <w:r>
        <w:rPr>
          <w:b w:val="0"/>
          <w:sz w:val="15"/>
        </w:rPr>
        <w:t>[A1] 첨부 모집공고, pp.2–5. [A2] 첨부 참가양식, p.3. [U] 이번 사용자 제공 설계 기준.</w:t>
        <w:br/>
        <w:t>[W1] BPA, VBS 2차 시범운영 결과, 2022.1.27, busanpa.com (dataSid=27214).</w:t>
        <w:br/>
        <w:t>[W2] BPA, MSC와 디지털 전환 협력 강화, 2026.4.13 (dataSid=36141).</w:t>
        <w:br/>
        <w:t>[W3] BPA, Port-i 이용 확대, 2026.3.3 (dataSid=34863). 전체 URL: 종합설계서 출처.</w:t>
      </w:r>
    </w:p>
    <w:sectPr w:rsidR="00FC693F" w:rsidRPr="0006063C" w:rsidSect="00034616">
      <w:headerReference w:type="default" r:id="rId9"/>
      <w:footerReference w:type="default" r:id="rId10"/>
      <w:pgSz w:w="11906" w:h="16838"/>
      <w:pgMar w:top="850" w:right="964" w:bottom="850"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1차 제출·설계 문서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D6C7A"/>
        <w:sz w:val="14"/>
      </w:rPr>
      <w:t>R-DELAY  /  참가신청서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80"/>
    </w:pPr>
    <w:rPr>
      <w:rFonts w:ascii="NanumGothic" w:hAnsi="NanumGothic" w:eastAsia="Nanum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Gothic" w:hAnsi="NanumGothic" w:eastAsia="NanumGothic"/>
      <w:b/>
      <w:bCs/>
      <w:color w:val="183A5A"/>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Gothic" w:hAnsi="NanumGothic" w:eastAsia="NanumGothic"/>
      <w:b/>
      <w:bCs/>
      <w:color w:val="183A5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NanumGothic" w:hAnsi="NanumGothic" w:eastAsia="NanumGothic"/>
      <w:b/>
      <w:color w:val="183A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참가신청서</dc:title>
  <dc:subject>v0.1 — 1차 제출·설계 문서 / 서비스 구현 완료본 아님</dc:subject>
  <dc:creator>R-Delay</dc:creator>
  <cp:keywords/>
  <dc:description>generated by python-docx</dc:description>
  <cp:lastModifiedBy/>
  <cp:revision>1</cp:revision>
  <dcterms:created xsi:type="dcterms:W3CDTF">2013-12-23T23:15:00Z</dcterms:created>
  <dcterms:modified xsi:type="dcterms:W3CDTF">2013-12-23T23:15:00Z</dcterms:modified>
  <cp:category/>
</cp:coreProperties>
</file>