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r>
            <m:t>C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I</m:t>
          </m:r>
          <m:r>
            <m:rPr>
              <m:sty m:val="p"/>
            </m:rPr>
            <m:t>d</m:t>
          </m:r>
          <m:r>
            <m:rPr>
              <m:sty m:val="p"/>
            </m:rPr>
            <m:t>+</m:t>
          </m:r>
          <m:r>
            <m:t>κ</m:t>
          </m:r>
          <m:sSub>
            <m:e>
              <m:r>
                <m:t>τ</m:t>
              </m:r>
            </m:e>
            <m:sub>
              <m:r>
                <m:t>0</m:t>
              </m:r>
            </m:sub>
          </m:sSub>
          <m:r>
            <m:t>M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I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/</m:t>
          </m:r>
          <m:sSub>
            <m:e>
              <m:r>
                <m:t>N</m:t>
              </m:r>
            </m:e>
            <m:sub>
              <m:r>
                <m:t>i</m:t>
              </m:r>
            </m:sub>
          </m:sSub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2026-10-21T05:43:03Z</dcterms:created>
  <dcterms:modified xsi:type="dcterms:W3CDTF">2026-10-21T05:43:03Z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