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m:oMathPara>
        <m:oMathParaPr>
          <m:jc m:val="center"/>
        </m:oMathParaPr>
        <m:oMath>
          <m:sSup>
            <m:e>
              <m:r>
                <m:t>b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inf</m:t>
          </m:r>
          <m:r>
            <m:rPr>
              <m:sty m:val="p"/>
            </m:rPr>
            <m:t>{</m:t>
          </m:r>
          <m:r>
            <m:t>b</m:t>
          </m:r>
          <m:r>
            <m:rPr>
              <m:sty m:val="p"/>
            </m:rPr>
            <m:t>≥</m:t>
          </m:r>
          <m:r>
            <m:t>0</m:t>
          </m:r>
          <m:r>
            <m:rPr>
              <m:sty m:val="p"/>
            </m:rPr>
            <m:t>:</m:t>
          </m:r>
          <m:r>
            <m:rPr>
              <m:sty m:val="p"/>
            </m:rPr>
            <m:t>Pr</m:t>
          </m:r>
          <m:d>
            <m:dPr>
              <m:begChr m:val="("/>
              <m:endChr m:val=")"/>
              <m:sepChr m:val=""/>
              <m:grow/>
            </m:dPr>
            <m:e>
              <m:r>
                <m:t>T</m:t>
              </m:r>
              <m:r>
                <m:rPr>
                  <m:sty m:val="p"/>
                </m:rPr>
                <m:t>&gt;</m:t>
              </m:r>
              <m:sSub>
                <m:e>
                  <m:r>
                    <m:t>t</m:t>
                  </m:r>
                </m:e>
                <m:sub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l</m:t>
                  </m:r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</m:e>
          </m:d>
          <m:r>
            <m:rPr>
              <m:sty m:val="p"/>
            </m:rPr>
            <m:t>≤</m:t>
          </m:r>
          <m:r>
            <m:t>ϵ</m:t>
          </m:r>
          <m:r>
            <m:rPr>
              <m:sty m:val="p"/>
            </m:rPr>
            <m:t>}</m:t>
          </m:r>
        </m:oMath>
      </m:oMathPara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2026-10-20T17:10:06Z</dcterms:created>
  <dcterms:modified xsi:type="dcterms:W3CDTF">2026-10-20T17:10:06Z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