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프리랜서 연말정산 및 소득공제 준비 안내</w:t>
      </w:r>
    </w:p>
    <w:p>
      <w:r>
        <w:rPr>
          <w:sz w:val="22"/>
        </w:rPr>
        <w:t xml:space="preserve">프리랜서 사업소득자는 근로자와 달리 회사를 통한 연말정산 절차가 없고, 다음 해 5월 종합소득세 신고로 한 해의 세액을 확정합니다. 다만 공제 증빙은 연말 전에 미리 확보해야 누락이 줄어들기 때문에 매년 12월에 아래 항목을 점검하고 있습니다.</w:t>
      </w:r>
    </w:p>
    <w:p>
      <w:r>
        <w:rPr>
          <w:b/>
          <w:sz w:val="22"/>
        </w:rPr>
        <w:t xml:space="preserve">작성일 : </w:t>
      </w:r>
      <w:r>
        <w:rPr>
          <w:sz w:val="22"/>
        </w:rPr>
        <w:t xml:space="preserve">2024-12-18</w:t>
      </w:r>
    </w:p>
    <w:p>
      <w:r>
        <w:rPr>
          <w:b/>
          <w:sz w:val="22"/>
        </w:rPr>
        <w:t xml:space="preserve">대상 과세연도 : </w:t>
      </w:r>
      <w:r>
        <w:rPr>
          <w:sz w:val="22"/>
        </w:rPr>
        <w:t xml:space="preserve">2024년 귀속 (신고 기한 2025-05-31)</w:t>
      </w:r>
    </w:p>
    <w:p>
      <w:r>
        <w:rPr>
          <w:b/>
          <w:sz w:val="22"/>
        </w:rPr>
        <w:t xml:space="preserve">사업자 : </w:t>
      </w:r>
      <w:r>
        <w:rPr>
          <w:sz w:val="22"/>
        </w:rPr>
        <w:t xml:space="preserve">지아스튜디오 / 그래픽 디자인 / 일반과세자</w:t>
      </w:r>
    </w:p>
    <w:p>
      <w:r>
        <w:rPr>
          <w:b/>
          <w:sz w:val="28"/>
        </w:rPr>
        <w:t xml:space="preserve">연말까지 처리할 항목</w:t>
      </w:r>
    </w:p>
    <w:tbl>
      <w:tblPr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r>
        <w:tc>
          <w:tcPr>
            <w:tcW w:w="2200" w:type="dxa"/>
          </w:tcPr>
          <w:p>
            <w:r>
              <w:rPr>
                <w:b/>
                <w:sz w:val="20"/>
              </w:rPr>
              <w:t xml:space="preserve">항목</w:t>
            </w:r>
          </w:p>
        </w:tc>
        <w:tc>
          <w:tcPr>
            <w:tcW w:w="2200" w:type="dxa"/>
          </w:tcPr>
          <w:p>
            <w:r>
              <w:rPr>
                <w:b/>
                <w:sz w:val="20"/>
              </w:rPr>
              <w:t xml:space="preserve">내용</w:t>
            </w:r>
          </w:p>
        </w:tc>
        <w:tc>
          <w:tcPr>
            <w:tcW w:w="2200" w:type="dxa"/>
          </w:tcPr>
          <w:p>
            <w:r>
              <w:rPr>
                <w:b/>
                <w:sz w:val="20"/>
              </w:rPr>
              <w:t xml:space="preserve">기한</w:t>
            </w:r>
          </w:p>
        </w:tc>
        <w:tc>
          <w:tcPr>
            <w:tcW w:w="2200" w:type="dxa"/>
          </w:tcPr>
          <w:p>
            <w:r>
              <w:rPr>
                <w:b/>
                <w:sz w:val="20"/>
              </w:rPr>
              <w:t xml:space="preserve">상태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 xml:space="preserve">노란우산공제 추가 납입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소득공제 한도까지 추가 납입 검토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12월 말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검토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 xml:space="preserve">국민연금 납부 확인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지역가입 미납분 정리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12월 말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완료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 xml:space="preserve">보장성보험 납입증명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실손 및 펫보험 증명서 발급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1월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대기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 xml:space="preserve">기부금 영수증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정기 기부 단체 2곳 요청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1월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요청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 xml:space="preserve">의료비 영수증 정리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본인 및 가족 진료 건 취합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1월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진행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 xml:space="preserve">사업용 카드 등록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홈택스에 사업용 카드 등록 확인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12월 말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완료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 xml:space="preserve">현금영수증 사업자 지출 전환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소모품 구매 건 확인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수시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진행</w:t>
            </w:r>
          </w:p>
        </w:tc>
      </w:tr>
    </w:tbl>
    <w:p/>
    <w:p>
      <w:r>
        <w:rPr>
          <w:b/>
          <w:sz w:val="28"/>
        </w:rPr>
        <w:t xml:space="preserve">공제 가능 항목 정리</w:t>
      </w:r>
    </w:p>
    <w:p>
      <w:r>
        <w:rPr>
          <w:sz w:val="22"/>
        </w:rPr>
        <w:t xml:space="preserve">노란우산공제는 사업소득금액 구간에 따라 연 200만원에서 500만원까지 소득공제가 가능합니다. 소기업 소상공인 요건을 충족하므로 가입을 유지하고, 여유 자금이 있으면 12월에 추가 납입하는 편이 유리합니다.</w:t>
      </w:r>
    </w:p>
    <w:p>
      <w:r>
        <w:rPr>
          <w:sz w:val="22"/>
        </w:rPr>
        <w:t xml:space="preserve">보장성보험료는 연 100만원 한도로 세액공제 대상입니다. 실손의료보험은 해당되지만 반려동물 보험은 공제 대상이 아니므로 혼동하지 않도록 증빙을 분리해 보관합니다.</w:t>
      </w:r>
    </w:p>
    <w:p>
      <w:r>
        <w:rPr>
          <w:sz w:val="22"/>
        </w:rPr>
        <w:t xml:space="preserve">의료비는 총소득의 3퍼센트를 초과하는 금액만 공제되며, 실손보험에서 보험금을 수령한 부분은 제외해야 합니다. 보험금 지급 명세서와 영수증을 한 폴더에 함께 보관하는 방식으로 관리합니다.</w:t>
      </w:r>
    </w:p>
    <w:p>
      <w:r>
        <w:rPr>
          <w:b/>
          <w:sz w:val="28"/>
        </w:rPr>
        <w:t xml:space="preserve">사업 경비와 생활비 분리</w:t>
      </w:r>
    </w:p>
    <w:p>
      <w:r>
        <w:rPr>
          <w:sz w:val="22"/>
        </w:rPr>
        <w:t xml:space="preserve">하늘카드는 사업용, 별빛카드는 생활용으로 분리해 사용합니다. 같은 달 두 장의 명세서가 함께 도착하므로 결제일(15일과 28일)과 카드사명을 기준으로 구분해 보관합니다.</w:t>
      </w:r>
    </w:p>
    <w:p>
      <w:r>
        <w:rPr>
          <w:sz w:val="22"/>
        </w:rPr>
        <w:t xml:space="preserve">통신비와 전기요금처럼 사업과 생활에 함께 쓰이는 비용은 사용 비율을 정해 두고 매년 동일한 기준을 적용합니다. 통신비는 70퍼센트, 전기요금은 50퍼센트를 사업 경비로 반영하고 있습니다.</w:t>
      </w:r>
    </w:p>
    <w:p>
      <w:r>
        <w:rPr>
          <w:b/>
          <w:sz w:val="22"/>
        </w:rPr>
        <w:t xml:space="preserve">다음 점검 : </w:t>
      </w:r>
      <w:r>
        <w:rPr>
          <w:sz w:val="22"/>
        </w:rPr>
        <w:t xml:space="preserve">2025-01 둘째 주, 증빙 발급 완료 여부 재확인</w:t>
      </w:r>
    </w:p>
    <w:sectPr>
      <w:pgSz w:w="11906" w:h="16838"/>
      <w:pgMar w:top="1134" w:right="1134" w:bottom="1134" w:left="1134"/>
    </w:sectPr>
  </w:body>
</w:document>
</file>