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2A14E" w14:textId="77777777" w:rsidR="00E60064" w:rsidRDefault="00E60064" w:rsidP="00E60064">
      <w:pPr>
        <w:pStyle w:val="Heading1"/>
      </w:pPr>
      <w:r w:rsidRPr="00E60064">
        <w:t>System Performance</w:t>
      </w:r>
    </w:p>
    <w:p w14:paraId="75C2FFE7" w14:textId="77777777" w:rsidR="00E60064" w:rsidRPr="00E60064" w:rsidRDefault="00E60064" w:rsidP="00E60064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CF47CB5" w14:textId="3485A99D" w:rsidR="0057748E" w:rsidRDefault="0057748E" w:rsidP="0057748E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System Performance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1615"/>
        <w:gridCol w:w="1615"/>
      </w:tblGrid>
      <w:tr w:rsidR="00E60064" w14:paraId="5BE51488" w14:textId="77777777" w:rsidTr="00E600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4E04790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B2648E3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Precision@10</w:t>
            </w:r>
          </w:p>
        </w:tc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6C703AE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NDCG10</w:t>
            </w:r>
          </w:p>
        </w:tc>
      </w:tr>
      <w:tr w:rsidR="00E60064" w14:paraId="3D49CD5C" w14:textId="77777777" w:rsidTr="00E600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E519BF0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TaskSieve</w:t>
            </w:r>
          </w:p>
        </w:tc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BD85407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0.862</w:t>
            </w:r>
          </w:p>
        </w:tc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51C6489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0.917</w:t>
            </w:r>
          </w:p>
        </w:tc>
      </w:tr>
      <w:tr w:rsidR="00E60064" w14:paraId="283E071B" w14:textId="77777777" w:rsidTr="00E6006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3582A59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</w:t>
            </w:r>
          </w:p>
        </w:tc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85D6FB2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0.914</w:t>
            </w:r>
          </w:p>
        </w:tc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6FAD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392F7ED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0.963*</w:t>
            </w:r>
          </w:p>
        </w:tc>
      </w:tr>
      <w:tr w:rsidR="00E60064" w14:paraId="6389E0AF" w14:textId="77777777" w:rsidTr="00E600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EA35FA3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VIBE+NE</w:t>
            </w:r>
          </w:p>
        </w:tc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C98DF56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0.890</w:t>
            </w:r>
          </w:p>
        </w:tc>
        <w:tc>
          <w:tcPr>
            <w:tcW w:w="161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F6FAD3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FBCA81A" w14:textId="77777777" w:rsidR="00E60064" w:rsidRDefault="00E6006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0.948*</w:t>
            </w:r>
          </w:p>
        </w:tc>
      </w:tr>
    </w:tbl>
    <w:p w14:paraId="3B7D815A" w14:textId="77777777" w:rsidR="00E60064" w:rsidRPr="00E60064" w:rsidRDefault="00E60064" w:rsidP="00E600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kern w:val="1"/>
        </w:rPr>
      </w:pPr>
      <w:proofErr w:type="gramStart"/>
      <w:r w:rsidRPr="00E60064">
        <w:rPr>
          <w:rFonts w:ascii="Helvetica" w:hAnsi="Helvetica" w:cs="Helvetica"/>
          <w:kern w:val="1"/>
        </w:rPr>
        <w:t>p</w:t>
      </w:r>
      <w:proofErr w:type="gramEnd"/>
      <w:r w:rsidRPr="00E60064">
        <w:rPr>
          <w:rFonts w:ascii="Helvetica" w:hAnsi="Helvetica" w:cs="Helvetica"/>
          <w:kern w:val="1"/>
        </w:rPr>
        <w:t xml:space="preserve"> &lt; 0.05, compared to the baseline</w:t>
      </w:r>
    </w:p>
    <w:p w14:paraId="58D82320" w14:textId="77777777" w:rsidR="00E60064" w:rsidRDefault="00E60064" w:rsidP="00E600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76C85CC3" w14:textId="77777777" w:rsidR="00E60064" w:rsidRDefault="00E60064" w:rsidP="00E60064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ectPr w:rsidR="00E60064" w:rsidSect="00A974B2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7F9B9262" w14:textId="77777777" w:rsidR="00E60064" w:rsidRDefault="00E60064" w:rsidP="00E60064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Helvetica" w:hAnsi="Helvetica" w:cs="Helvetica"/>
          <w:noProof/>
          <w:kern w:val="1"/>
        </w:rPr>
        <w:lastRenderedPageBreak/>
        <w:drawing>
          <wp:inline distT="0" distB="0" distL="0" distR="0" wp14:anchorId="6D316456" wp14:editId="1AE32132">
            <wp:extent cx="2839502" cy="21183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384" cy="21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A906" w14:textId="77777777" w:rsidR="00E60064" w:rsidRDefault="00E60064" w:rsidP="00E60064">
      <w:pPr>
        <w:pStyle w:val="Caption"/>
        <w:jc w:val="center"/>
        <w:rPr>
          <w:rFonts w:ascii="Helvetica" w:hAnsi="Helvetica" w:cs="Helvetica"/>
          <w:kern w:val="1"/>
        </w:rPr>
      </w:pPr>
      <w:r>
        <w:t xml:space="preserve">Figure </w:t>
      </w:r>
      <w:fldSimple w:instr=" SEQ Figure \* ARABIC ">
        <w:r w:rsidR="005B4F71">
          <w:rPr>
            <w:noProof/>
          </w:rPr>
          <w:t>1</w:t>
        </w:r>
      </w:fldSimple>
      <w:r>
        <w:t>: Precisio@10</w:t>
      </w:r>
    </w:p>
    <w:p w14:paraId="07A0028E" w14:textId="77777777" w:rsidR="00E60064" w:rsidRDefault="00E60064" w:rsidP="00E60064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Helvetica" w:hAnsi="Helvetica" w:cs="Helvetica"/>
          <w:noProof/>
          <w:kern w:val="1"/>
        </w:rPr>
        <w:lastRenderedPageBreak/>
        <w:drawing>
          <wp:inline distT="0" distB="0" distL="0" distR="0" wp14:anchorId="167D28A6" wp14:editId="5A8D2598">
            <wp:extent cx="2743200" cy="2046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79" cy="205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BDFB" w14:textId="77777777" w:rsidR="00E60064" w:rsidRPr="00E60064" w:rsidRDefault="00E60064" w:rsidP="00E60064">
      <w:pPr>
        <w:pStyle w:val="Caption"/>
        <w:jc w:val="center"/>
        <w:rPr>
          <w:rFonts w:ascii="Helvetica" w:hAnsi="Helvetica" w:cs="Helvetica"/>
          <w:kern w:val="1"/>
        </w:rPr>
      </w:pPr>
      <w:r>
        <w:t xml:space="preserve">Figure </w:t>
      </w:r>
      <w:fldSimple w:instr=" SEQ Figure \* ARABIC ">
        <w:r w:rsidR="005B4F71">
          <w:rPr>
            <w:noProof/>
          </w:rPr>
          <w:t>2</w:t>
        </w:r>
      </w:fldSimple>
      <w:r>
        <w:t>: NDCG</w:t>
      </w:r>
    </w:p>
    <w:p w14:paraId="1F1B0919" w14:textId="77777777" w:rsidR="00E60064" w:rsidRDefault="00E60064" w:rsidP="00E600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  <w:sectPr w:rsidR="00E60064" w:rsidSect="00E60064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6B38BF6C" w14:textId="77777777" w:rsidR="00E60064" w:rsidRDefault="00E60064" w:rsidP="00E600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98277C" w14:textId="607D448A" w:rsidR="00A974B2" w:rsidRDefault="00A974B2" w:rsidP="00C87449">
      <w:r>
        <w:t>There was not a significant difference between the baseline and the VIBE visualizations in terms of P@10, but differences were found when used NDCG, which means the VIBE visualizations could select more relevant documents in the higher ranks.</w:t>
      </w:r>
    </w:p>
    <w:p w14:paraId="7B148D0A" w14:textId="3D78B065" w:rsidR="00E60064" w:rsidRDefault="00E60064" w:rsidP="00C87449">
      <w:r>
        <w:t>Even though the above measures compare the top 10 documents from the traditional ranked list, they are still visually emphasized using di</w:t>
      </w:r>
      <w:r w:rsidR="00E91DE6">
        <w:t xml:space="preserve">fferent colors.  At the same time, the top 10 documents </w:t>
      </w:r>
      <w:r w:rsidR="007A25F9">
        <w:t xml:space="preserve">were placed closer to the user </w:t>
      </w:r>
      <w:r w:rsidR="00C73F38">
        <w:t>models;</w:t>
      </w:r>
      <w:r w:rsidR="007A25F9">
        <w:t xml:space="preserve"> especially as time passed and user models were improved.</w:t>
      </w:r>
    </w:p>
    <w:p w14:paraId="3D53E805" w14:textId="77777777" w:rsidR="005B4F71" w:rsidRDefault="005B4F71" w:rsidP="005B4F71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ectPr w:rsidR="005B4F71" w:rsidSect="00E60064">
          <w:type w:val="continuous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1DA14141" w14:textId="3CB9C1FD" w:rsidR="005B4F71" w:rsidRDefault="005B4F71" w:rsidP="005B4F71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2E84624F" wp14:editId="522E5C0C">
            <wp:extent cx="2323830" cy="1747520"/>
            <wp:effectExtent l="0" t="0" r="133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47" cy="175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20C8" w14:textId="2E4F60AE" w:rsidR="005B4F71" w:rsidRDefault="005B4F71" w:rsidP="005B4F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Horizontal positions of Top 10 documents (overall)</w:t>
      </w:r>
    </w:p>
    <w:p w14:paraId="2A5D5C19" w14:textId="77777777" w:rsidR="005B4F71" w:rsidRDefault="005B4F71" w:rsidP="005B4F71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Helvetica" w:hAnsi="Helvetica" w:cs="Helvetica"/>
          <w:noProof/>
        </w:rPr>
        <w:drawing>
          <wp:inline distT="0" distB="0" distL="0" distR="0" wp14:anchorId="07ADC6A9" wp14:editId="1747415A">
            <wp:extent cx="2509520" cy="190542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681" cy="190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E305" w14:textId="14486E00" w:rsidR="005B4F71" w:rsidRDefault="005B4F71" w:rsidP="005B4F71">
      <w:pPr>
        <w:pStyle w:val="Caption"/>
        <w:rPr>
          <w:rFonts w:ascii="Helvetica" w:hAnsi="Helvetica" w:cs="Helvetica"/>
        </w:rPr>
        <w:sectPr w:rsidR="005B4F71" w:rsidSect="005B4F71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Horizontal positions of Top 10 documents (after UM built)</w:t>
      </w:r>
    </w:p>
    <w:p w14:paraId="73D3B7FB" w14:textId="77777777" w:rsidR="005B4F71" w:rsidRDefault="005B4F71" w:rsidP="005B4F71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Helvetica" w:hAnsi="Helvetica" w:cs="Helvetica"/>
          <w:noProof/>
        </w:rPr>
        <w:drawing>
          <wp:inline distT="0" distB="0" distL="0" distR="0" wp14:anchorId="69BF8166" wp14:editId="35DF8CB2">
            <wp:extent cx="2738120" cy="273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1265" w14:textId="6331C109" w:rsidR="005B4F71" w:rsidRDefault="005B4F71" w:rsidP="005B4F7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Location change of Top 10 documents by time</w:t>
      </w:r>
    </w:p>
    <w:p w14:paraId="3BC11F35" w14:textId="77777777" w:rsidR="005B4F71" w:rsidRDefault="005B4F71" w:rsidP="005B4F71">
      <w:pPr>
        <w:keepNext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rPr>
          <w:rFonts w:ascii="Helvetica" w:hAnsi="Helvetica" w:cs="Helvetica"/>
          <w:noProof/>
        </w:rPr>
        <w:drawing>
          <wp:inline distT="0" distB="0" distL="0" distR="0" wp14:anchorId="4FFD3210" wp14:editId="37F5EE79">
            <wp:extent cx="2753360" cy="275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C507" w14:textId="5C254774" w:rsidR="00A974B2" w:rsidRPr="00E60064" w:rsidRDefault="005B4F71" w:rsidP="005B4F71">
      <w:pPr>
        <w:pStyle w:val="Caption"/>
        <w:rPr>
          <w:rFonts w:ascii="Helvetica" w:hAnsi="Helvetica" w:cs="Helvetica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Precision change of Top10 documents by time</w:t>
      </w:r>
    </w:p>
    <w:p w14:paraId="2240AD1E" w14:textId="77777777" w:rsidR="005B4F71" w:rsidRDefault="005B4F71" w:rsidP="00E60064">
      <w:pPr>
        <w:pStyle w:val="Heading1"/>
        <w:sectPr w:rsidR="005B4F71" w:rsidSect="005B4F71">
          <w:type w:val="continuous"/>
          <w:pgSz w:w="12240" w:h="15840"/>
          <w:pgMar w:top="1440" w:right="1800" w:bottom="1440" w:left="1800" w:header="720" w:footer="720" w:gutter="0"/>
          <w:cols w:num="2" w:space="720"/>
          <w:noEndnote/>
        </w:sectPr>
      </w:pPr>
    </w:p>
    <w:p w14:paraId="5E73ADBF" w14:textId="450D1739" w:rsidR="00E60064" w:rsidRDefault="00E60064" w:rsidP="00E60064">
      <w:pPr>
        <w:pStyle w:val="Heading1"/>
      </w:pPr>
      <w:r>
        <w:t>System + User Performance – open precision</w:t>
      </w:r>
    </w:p>
    <w:p w14:paraId="49B377EE" w14:textId="77777777" w:rsidR="00C87449" w:rsidRDefault="00C87449" w:rsidP="00C87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D3BA927" w14:textId="75C0DC32" w:rsidR="0057748E" w:rsidRDefault="0057748E" w:rsidP="0057748E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Open Precision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1565"/>
      </w:tblGrid>
      <w:tr w:rsidR="00C87449" w14:paraId="1311E17D" w14:textId="77777777" w:rsidTr="00577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50CBC75" w14:textId="77777777" w:rsidR="00C87449" w:rsidRDefault="00C874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</w:p>
        </w:tc>
        <w:tc>
          <w:tcPr>
            <w:tcW w:w="156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4A6838F" w14:textId="77777777" w:rsidR="00C87449" w:rsidRDefault="00C874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Open Precision</w:t>
            </w:r>
          </w:p>
        </w:tc>
      </w:tr>
      <w:tr w:rsidR="00C87449" w14:paraId="3ACDACD8" w14:textId="77777777" w:rsidTr="005774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0043866" w14:textId="77777777" w:rsidR="00C87449" w:rsidRDefault="00C874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TaskSieve</w:t>
            </w:r>
          </w:p>
        </w:tc>
        <w:tc>
          <w:tcPr>
            <w:tcW w:w="156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CF47F8A" w14:textId="77777777" w:rsidR="00C87449" w:rsidRDefault="00C874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0.950</w:t>
            </w:r>
          </w:p>
        </w:tc>
      </w:tr>
      <w:tr w:rsidR="00C87449" w14:paraId="1372EFAF" w14:textId="77777777" w:rsidTr="005774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F6CC0E4" w14:textId="77777777" w:rsidR="00C87449" w:rsidRDefault="00C874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</w:t>
            </w:r>
          </w:p>
        </w:tc>
        <w:tc>
          <w:tcPr>
            <w:tcW w:w="156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A30F6A6" w14:textId="77777777" w:rsidR="00C87449" w:rsidRDefault="00C874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0.875</w:t>
            </w:r>
          </w:p>
        </w:tc>
      </w:tr>
      <w:tr w:rsidR="00C87449" w14:paraId="4FCF6ED4" w14:textId="77777777" w:rsidTr="00577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6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B61DAF3" w14:textId="77777777" w:rsidR="00C87449" w:rsidRDefault="00C874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 + NE</w:t>
            </w:r>
          </w:p>
        </w:tc>
        <w:tc>
          <w:tcPr>
            <w:tcW w:w="156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41975F8" w14:textId="77777777" w:rsidR="00C87449" w:rsidRDefault="00C874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0.875</w:t>
            </w:r>
          </w:p>
        </w:tc>
      </w:tr>
    </w:tbl>
    <w:p w14:paraId="63DB9CA5" w14:textId="77777777" w:rsidR="00C87449" w:rsidRDefault="00C87449" w:rsidP="00C874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kern w:val="1"/>
        </w:rPr>
      </w:pPr>
    </w:p>
    <w:p w14:paraId="6207CF60" w14:textId="1DA619E4" w:rsidR="00A320FE" w:rsidRDefault="00C87449" w:rsidP="00C87449">
      <w:r>
        <w:t>The</w:t>
      </w:r>
      <w:r w:rsidR="00002BBA">
        <w:t xml:space="preserve"> baseline was better than VIBE visualizations </w:t>
      </w:r>
      <w:r>
        <w:t xml:space="preserve">in terms of the precision of the open documents.  </w:t>
      </w:r>
      <w:r w:rsidR="00A320FE">
        <w:t>It is due to the following reasons.</w:t>
      </w:r>
    </w:p>
    <w:p w14:paraId="5F590B87" w14:textId="003EA2E4" w:rsidR="00C87449" w:rsidRDefault="00A320FE" w:rsidP="00A320FE">
      <w:pPr>
        <w:pStyle w:val="ListParagraph"/>
        <w:numPr>
          <w:ilvl w:val="0"/>
          <w:numId w:val="3"/>
        </w:numPr>
      </w:pPr>
      <w:r>
        <w:t>Very high performance of the baseline, which is adaptive.  Moreover, the subjects were given document snippets, so they can get better results from the already-good ranked lists.</w:t>
      </w:r>
    </w:p>
    <w:p w14:paraId="6E68979F" w14:textId="09A9CAB3" w:rsidR="00A320FE" w:rsidRDefault="00A320FE" w:rsidP="00A320FE">
      <w:pPr>
        <w:pStyle w:val="ListParagraph"/>
        <w:numPr>
          <w:ilvl w:val="0"/>
          <w:numId w:val="3"/>
        </w:numPr>
      </w:pPr>
      <w:r>
        <w:t>The nature of the visualization.  Because VIBE shows more than 100 documents, there is higher chance to include irrelevant documents.</w:t>
      </w:r>
    </w:p>
    <w:p w14:paraId="31AB13F4" w14:textId="4A083A4A" w:rsidR="0057748E" w:rsidRDefault="00A320FE" w:rsidP="00A320FE">
      <w:r>
        <w:t xml:space="preserve">However, </w:t>
      </w:r>
      <w:r w:rsidR="00002BBA">
        <w:t>there was no significant difference.</w:t>
      </w:r>
      <w:r w:rsidR="0057748E">
        <w:t xml:space="preserve">  At the same time, VIBE visualizations made users to explore wider range of documents.</w:t>
      </w:r>
    </w:p>
    <w:p w14:paraId="70514A61" w14:textId="488728A0" w:rsidR="0057748E" w:rsidRDefault="0057748E" w:rsidP="00A320FE">
      <w:r>
        <w:t>Table 3 shows the mean rank of opened documents, where the subjects checked the documents around rank 3, whereas they did the ones far below rank 10 using the visualizations.</w:t>
      </w:r>
    </w:p>
    <w:p w14:paraId="649C0DAE" w14:textId="77777777" w:rsidR="0057748E" w:rsidRDefault="0057748E" w:rsidP="005774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580ADA79" w14:textId="36759EE0" w:rsidR="0057748E" w:rsidRDefault="0057748E" w:rsidP="0057748E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Rank of open documents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355"/>
        <w:gridCol w:w="1355"/>
        <w:gridCol w:w="1355"/>
        <w:gridCol w:w="1355"/>
      </w:tblGrid>
      <w:tr w:rsidR="0057748E" w14:paraId="39B0858F" w14:textId="77777777" w:rsidTr="00577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1C5C5AB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B3D1BD2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Open Rank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26113F0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Open Rank (Relevant)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146D76C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Saved Rank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5C32007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Saved Rank (Relevant)</w:t>
            </w:r>
          </w:p>
        </w:tc>
      </w:tr>
      <w:tr w:rsidR="0057748E" w14:paraId="5A45861E" w14:textId="77777777" w:rsidTr="005774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40090B2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TaskSieve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4BBDD05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61AF949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3DA31A6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4AF75C4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3.60</w:t>
            </w:r>
          </w:p>
        </w:tc>
      </w:tr>
      <w:tr w:rsidR="0057748E" w14:paraId="605606AA" w14:textId="77777777" w:rsidTr="005774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837034B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1861848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21.76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05E594D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13.26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E949BF7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10.73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6302706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9.44</w:t>
            </w:r>
          </w:p>
        </w:tc>
      </w:tr>
      <w:tr w:rsidR="0057748E" w14:paraId="61AD04BA" w14:textId="77777777" w:rsidTr="00577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F4AA0C4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 + NE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D066674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24.40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9955586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10.77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0FE9FF1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11.43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34AA51D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11.49</w:t>
            </w:r>
          </w:p>
        </w:tc>
      </w:tr>
    </w:tbl>
    <w:p w14:paraId="459B4072" w14:textId="77777777" w:rsidR="0057748E" w:rsidRDefault="0057748E" w:rsidP="005774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kern w:val="1"/>
        </w:rPr>
      </w:pPr>
    </w:p>
    <w:p w14:paraId="1E9B97DD" w14:textId="7F4BFE44" w:rsidR="0057748E" w:rsidRDefault="0057748E" w:rsidP="0057748E">
      <w:r>
        <w:t>Table 4 and 5 show the number of topic clusters (out of 10 per topic), where visualizations found more clusters than the baseline.</w:t>
      </w:r>
    </w:p>
    <w:p w14:paraId="528179FF" w14:textId="638A0A28" w:rsidR="0057748E" w:rsidRDefault="0057748E" w:rsidP="0057748E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: Topic cluster of open documents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355"/>
        <w:gridCol w:w="1355"/>
        <w:gridCol w:w="1355"/>
      </w:tblGrid>
      <w:tr w:rsidR="0057748E" w14:paraId="79A82561" w14:textId="77777777" w:rsidTr="00577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21DC2CA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AC6A07D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40009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107C4D6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40021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2170F05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40048</w:t>
            </w:r>
          </w:p>
        </w:tc>
      </w:tr>
      <w:tr w:rsidR="0057748E" w14:paraId="072A7350" w14:textId="77777777" w:rsidTr="005774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2AEF01A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TaskSieve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C3DE4A5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D79678D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58695B8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9</w:t>
            </w:r>
          </w:p>
        </w:tc>
      </w:tr>
      <w:tr w:rsidR="0057748E" w14:paraId="72961D3E" w14:textId="77777777" w:rsidTr="005774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29671C6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09764C3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B0170A6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14B58AF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9</w:t>
            </w:r>
          </w:p>
        </w:tc>
      </w:tr>
      <w:tr w:rsidR="0057748E" w14:paraId="27B1B972" w14:textId="77777777" w:rsidTr="00577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3ECD47B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 + NE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FA01706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BA01EB1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8C63A27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8</w:t>
            </w:r>
          </w:p>
        </w:tc>
      </w:tr>
    </w:tbl>
    <w:p w14:paraId="682404A2" w14:textId="77777777" w:rsidR="0057748E" w:rsidRDefault="0057748E" w:rsidP="005774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kern w:val="1"/>
        </w:rPr>
      </w:pPr>
    </w:p>
    <w:p w14:paraId="79890AA1" w14:textId="77777777" w:rsidR="0057748E" w:rsidRDefault="0057748E" w:rsidP="005774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8CE5128" w14:textId="4BC107AD" w:rsidR="0057748E" w:rsidRDefault="0057748E" w:rsidP="0057748E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: Topic cluster of saved documents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355"/>
        <w:gridCol w:w="1355"/>
        <w:gridCol w:w="1355"/>
      </w:tblGrid>
      <w:tr w:rsidR="0057748E" w14:paraId="04B4B33B" w14:textId="77777777" w:rsidTr="00577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969B236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6E66E81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40009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129F6C5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40021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1ECCE57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40048</w:t>
            </w:r>
          </w:p>
        </w:tc>
      </w:tr>
      <w:tr w:rsidR="0057748E" w14:paraId="752FAA4E" w14:textId="77777777" w:rsidTr="005774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34C86D2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TaskSieve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9DCFC75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DCDE9FF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F96BF25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8</w:t>
            </w:r>
          </w:p>
        </w:tc>
      </w:tr>
      <w:tr w:rsidR="0057748E" w14:paraId="416D557E" w14:textId="77777777" w:rsidTr="005774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0A5778F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6E8814B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0B4D3A4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42819A9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8</w:t>
            </w:r>
          </w:p>
        </w:tc>
      </w:tr>
      <w:tr w:rsidR="0057748E" w14:paraId="1B978182" w14:textId="77777777" w:rsidTr="0057748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A75883C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VIBE + NE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9F827E3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01EEAE2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D25BB84" w14:textId="77777777" w:rsidR="0057748E" w:rsidRDefault="005774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color w:val="000000"/>
                <w:sz w:val="20"/>
                <w:szCs w:val="20"/>
              </w:rPr>
              <w:t>7</w:t>
            </w:r>
          </w:p>
        </w:tc>
      </w:tr>
    </w:tbl>
    <w:p w14:paraId="1E5027CE" w14:textId="77777777" w:rsidR="0057748E" w:rsidRDefault="0057748E" w:rsidP="0057748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kern w:val="1"/>
        </w:rPr>
      </w:pPr>
    </w:p>
    <w:p w14:paraId="083C02BE" w14:textId="77777777" w:rsidR="00002BBA" w:rsidRPr="00C87449" w:rsidRDefault="00002BBA" w:rsidP="00A320FE"/>
    <w:p w14:paraId="16DD4EA2" w14:textId="77777777" w:rsidR="00E60064" w:rsidRPr="00E60064" w:rsidRDefault="00E60064" w:rsidP="00E60064">
      <w:pPr>
        <w:pStyle w:val="Heading1"/>
      </w:pPr>
      <w:r>
        <w:t>User Performance – note precision</w:t>
      </w:r>
    </w:p>
    <w:p w14:paraId="431E52F3" w14:textId="78C17B6E" w:rsidR="00E60064" w:rsidRDefault="00E85F13" w:rsidP="00E600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E7CBE1B" wp14:editId="16623BC9">
            <wp:extent cx="2628267" cy="1960880"/>
            <wp:effectExtent l="0" t="0" r="133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7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2EB0" w14:textId="21D53A42" w:rsidR="00E85F13" w:rsidRDefault="00E85F13" w:rsidP="00E600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42E9CCF" wp14:editId="4FDF99AE">
            <wp:extent cx="2634435" cy="198628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43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13A8" w14:textId="77777777" w:rsidR="00E60064" w:rsidRDefault="00E60064" w:rsidP="00E600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57A5E7A" w14:textId="77777777" w:rsidR="00E85F13" w:rsidRDefault="00E85F13" w:rsidP="00E85F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355"/>
        <w:gridCol w:w="1355"/>
      </w:tblGrid>
      <w:tr w:rsidR="00E85F13" w14:paraId="5211B3A5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3287391A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</w:rPr>
            </w:pP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8A65891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Sum of Precision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0A0560A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ascii="Helvetica" w:hAnsi="Helvetica" w:cs="Helvetica"/>
                <w:kern w:val="1"/>
              </w:rPr>
            </w:pPr>
            <w:r>
              <w:rPr>
                <w:rFonts w:ascii="Helvetica Neue" w:hAnsi="Helvetica Neue" w:cs="Helvetica Neue"/>
                <w:b/>
                <w:bCs/>
                <w:color w:val="000000"/>
                <w:sz w:val="20"/>
                <w:szCs w:val="20"/>
              </w:rPr>
              <w:t>Count of High Precision Notes (&gt;= 0.9)</w:t>
            </w:r>
          </w:p>
        </w:tc>
      </w:tr>
      <w:tr w:rsidR="00E85F13" w14:paraId="77CB4A6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C259E15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TaskSieve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1A2E36A4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362.98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79F2EF17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343</w:t>
            </w:r>
          </w:p>
        </w:tc>
      </w:tr>
      <w:tr w:rsidR="00E85F13" w14:paraId="34C1BA5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4CF32837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VIBE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275AA01F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397.86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5ABD8C71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379</w:t>
            </w:r>
          </w:p>
        </w:tc>
      </w:tr>
      <w:tr w:rsidR="00E85F13" w14:paraId="71F4445E" w14:textId="77777777">
        <w:tblPrEx>
          <w:tblCellMar>
            <w:top w:w="0" w:type="dxa"/>
            <w:bottom w:w="0" w:type="dxa"/>
          </w:tblCellMar>
        </w:tblPrEx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shd w:val="clear" w:color="auto" w:fill="E6E6E6"/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0715AB84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VIBE + NE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561A49E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366.17</w:t>
            </w:r>
          </w:p>
        </w:tc>
        <w:tc>
          <w:tcPr>
            <w:tcW w:w="1355" w:type="dxa"/>
            <w:tcBorders>
              <w:top w:val="single" w:sz="2" w:space="0" w:color="CDCDCD"/>
              <w:left w:val="single" w:sz="2" w:space="0" w:color="CDCDCD"/>
              <w:bottom w:val="single" w:sz="2" w:space="0" w:color="CDCDCD"/>
              <w:right w:val="single" w:sz="2" w:space="0" w:color="CDCDCD"/>
            </w:tcBorders>
            <w:tcMar>
              <w:top w:w="40" w:type="nil"/>
              <w:left w:w="20" w:type="nil"/>
              <w:bottom w:w="20" w:type="nil"/>
              <w:right w:w="40" w:type="nil"/>
            </w:tcMar>
          </w:tcPr>
          <w:p w14:paraId="6DF52E0B" w14:textId="77777777" w:rsidR="00E85F13" w:rsidRDefault="00E85F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Helvetica" w:hAnsi="Helvetica" w:cs="Helvetica"/>
                <w:kern w:val="1"/>
              </w:rPr>
            </w:pPr>
            <w:r>
              <w:rPr>
                <w:rFonts w:ascii="Helvetica" w:hAnsi="Helvetica" w:cs="Helvetica"/>
              </w:rPr>
              <w:t>355</w:t>
            </w:r>
          </w:p>
        </w:tc>
      </w:tr>
    </w:tbl>
    <w:p w14:paraId="42EFCB66" w14:textId="77777777" w:rsidR="00E85F13" w:rsidRDefault="00E85F13" w:rsidP="00E85F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hAnsi="Helvetica" w:cs="Helvetica"/>
          <w:kern w:val="1"/>
        </w:rPr>
      </w:pPr>
    </w:p>
    <w:p w14:paraId="103C1D01" w14:textId="77777777" w:rsidR="00FF0A27" w:rsidRPr="00E60064" w:rsidRDefault="00FF0A27" w:rsidP="00E60064">
      <w:bookmarkStart w:id="0" w:name="_GoBack"/>
      <w:bookmarkEnd w:id="0"/>
    </w:p>
    <w:sectPr w:rsidR="00FF0A27" w:rsidRPr="00E60064" w:rsidSect="00E60064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038EF"/>
    <w:multiLevelType w:val="hybridMultilevel"/>
    <w:tmpl w:val="D4660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387484"/>
    <w:multiLevelType w:val="hybridMultilevel"/>
    <w:tmpl w:val="E902927C"/>
    <w:lvl w:ilvl="0" w:tplc="9F6A543C">
      <w:numFmt w:val="bullet"/>
      <w:lvlText w:val=""/>
      <w:lvlJc w:val="left"/>
      <w:pPr>
        <w:ind w:left="108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FA3DBC"/>
    <w:multiLevelType w:val="hybridMultilevel"/>
    <w:tmpl w:val="E2E8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</w:compat>
  <w:rsids>
    <w:rsidRoot w:val="00E60064"/>
    <w:rsid w:val="00002BBA"/>
    <w:rsid w:val="0057748E"/>
    <w:rsid w:val="005B4F71"/>
    <w:rsid w:val="007A25F9"/>
    <w:rsid w:val="00847CC9"/>
    <w:rsid w:val="0091354B"/>
    <w:rsid w:val="00936B07"/>
    <w:rsid w:val="00A320FE"/>
    <w:rsid w:val="00A974B2"/>
    <w:rsid w:val="00C73F38"/>
    <w:rsid w:val="00C87449"/>
    <w:rsid w:val="00E60064"/>
    <w:rsid w:val="00E85F13"/>
    <w:rsid w:val="00E91DE6"/>
    <w:rsid w:val="00FF0A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6234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B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00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0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0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064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064"/>
    <w:rPr>
      <w:rFonts w:ascii="AppleGothic" w:eastAsia="AppleGothic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60064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B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00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0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0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064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064"/>
    <w:rPr>
      <w:rFonts w:ascii="AppleGothic" w:eastAsia="AppleGothic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6006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BBDCEF-FFDB-3349-8CB5-2D730BB5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426</Words>
  <Characters>2431</Characters>
  <Application>Microsoft Macintosh Word</Application>
  <DocSecurity>0</DocSecurity>
  <Lines>20</Lines>
  <Paragraphs>5</Paragraphs>
  <ScaleCrop>false</ScaleCrop>
  <Company>University of Pittsburgh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Jae-wook Ahn</dc:creator>
  <cp:keywords/>
  <dc:description/>
  <cp:lastModifiedBy>Jae-wook Ahn</cp:lastModifiedBy>
  <cp:revision>10</cp:revision>
  <dcterms:created xsi:type="dcterms:W3CDTF">2010-06-18T19:32:00Z</dcterms:created>
  <dcterms:modified xsi:type="dcterms:W3CDTF">2010-06-18T20:01:00Z</dcterms:modified>
</cp:coreProperties>
</file>