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88"/>
          <w:sz w:val="40"/>
          <w:szCs w:val="40"/>
        </w:rPr>
        <w:t xml:space="preserve">헤어 미용용품 오픈마켓 구축 절차 가이드</w:t>
      </w:r>
    </w:p>
    <w:p>
      <w:pPr>
        <w:spacing w:after="40"/>
      </w:pPr>
      <w:r>
        <w:rPr>
          <w:color w:val="666666"/>
          <w:sz w:val="24"/>
          <w:szCs w:val="24"/>
        </w:rPr>
        <w:t xml:space="preserve">헤어디자이너 입점형 판매 플랫폼 · 비기술(인허가·계약·운영) 영역 중심</w:t>
      </w:r>
    </w:p>
    <w:p>
      <w:pPr>
        <w:pBdr>
          <w:bottom w:val="single" w:color="2E5A88" w:sz="8" w:space="6"/>
        </w:pBdr>
        <w:spacing w:after="200"/>
      </w:pPr>
      <w:r>
        <w:rPr>
          <w:color w:val="666666"/>
          <w:sz w:val="18"/>
          <w:szCs w:val="18"/>
        </w:rPr>
        <w:t xml:space="preserve">작성 참고일: 2026년 6월 · 본 문서는 일반 안내용이며 법률 자문이 아닙니다.</w:t>
      </w:r>
    </w:p>
    <w:p>
      <w:pPr>
        <w:pStyle w:val="Heading1"/>
      </w:pPr>
      <w:r>
        <w:t xml:space="preserve">0. 사업 모델 정의</w:t>
      </w:r>
    </w:p>
    <w:p>
      <w:pPr>
        <w:spacing w:after="120" w:line="288"/>
      </w:pPr>
      <w:r>
        <w:t xml:space="preserve">헤어디자이너(판매자)가 앞치마·빗·가위 등 </w:t>
      </w:r>
      <w:r>
        <w:rPr>
          <w:b/>
          <w:bCs/>
        </w:rPr>
        <w:t xml:space="preserve">미용 도구</w:t>
      </w:r>
      <w:r>
        <w:t xml:space="preserve">를 직접 입점·판매하는 오픈마켓입니다. 운영자가 물건을 직접 파는 것이 아니라 판매자와 소비자의 거래를 중개하므로, 법적으로는 </w:t>
      </w:r>
      <w:r>
        <w:rPr>
          <w:b/>
          <w:bCs/>
        </w:rPr>
        <w:t xml:space="preserve">거래관여형(오픈마켓형) 통신판매중개업자</w:t>
      </w:r>
      <w:r>
        <w:t xml:space="preserve">에 해당합니다. 청약 접수와 대금 수령에 관여하는 만큼, 단순 광고 게시판형 중개보다 책임이 무겁습니다.</w:t>
      </w:r>
    </w:p>
    <w:p>
      <w:pPr>
        <w:spacing w:after="120" w:line="288"/>
      </w:pPr>
      <w:r>
        <w:rPr>
          <w:b/>
          <w:bCs/>
        </w:rPr>
        <w:t xml:space="preserve">핵심: </w:t>
      </w:r>
      <w:r>
        <w:t xml:space="preserve">다루는 품목이 화장품이 아닌 '미용 도구'이므로 식약처 인허가(화장품책임판매업) 부담이 없어 전체 난이도는 낮은 편입니다. 대신 중개 플랫폼으로서의 결제·정산 구조와 판매자 관리가 핵심입니다.</w:t>
      </w:r>
    </w:p>
    <w:p>
      <w:pPr>
        <w:pStyle w:val="Heading1"/>
      </w:pPr>
      <w:r>
        <w:t xml:space="preserve">1. 사업자 설립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사업자등록</w:t>
      </w:r>
      <w:r>
        <w:t xml:space="preserve"> — 개인사업자도 가능하나, 투자 유치·책임 분리·신뢰도를 고려하면 법인 설립이 일반적입니다.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업종에 </w:t>
      </w:r>
      <w:r>
        <w:rPr>
          <w:b/>
          <w:bCs/>
        </w:rPr>
        <w:t xml:space="preserve">전자상거래 소매업 + 통신판매중개업</w:t>
      </w:r>
      <w:r>
        <w:t xml:space="preserve">을 포함해 등록합니다.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사업자등록은 사업장 주소와 공동인증서만 있으면 진행 가능하며, </w:t>
      </w:r>
      <w:r>
        <w:rPr>
          <w:b/>
          <w:bCs/>
        </w:rPr>
        <w:t xml:space="preserve">통신판매업 신고보다 먼저 완료</w:t>
      </w:r>
      <w:r>
        <w:t xml:space="preserve">되어 있어야 합니다.</w:t>
      </w:r>
    </w:p>
    <w:p>
      <w:pPr>
        <w:pStyle w:val="Heading1"/>
      </w:pPr>
      <w:r>
        <w:t xml:space="preserve">2. 통신판매업 신고</w:t>
      </w:r>
    </w:p>
    <w:p>
      <w:pPr>
        <w:spacing w:after="120" w:line="288"/>
      </w:pPr>
      <w:r>
        <w:rPr>
          <w:b/>
          <w:bCs/>
        </w:rPr>
        <w:t xml:space="preserve">정확히 짚을 점: </w:t>
      </w:r>
      <w:r>
        <w:t xml:space="preserve">'통신판매중개업 신고'라는 별도 절차는 없습니다. 오픈마켓 운영자도 「전자상거래법」상 </w:t>
      </w:r>
      <w:r>
        <w:rPr>
          <w:b/>
          <w:bCs/>
        </w:rPr>
        <w:t xml:space="preserve">통신판매업 신고</w:t>
      </w:r>
      <w:r>
        <w:t xml:space="preserve">를 하면 되고, 그 안에서 중개업을 영위하는 구조입니다.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신고처: 관할 시·군·구청 또는 정부24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필요 서류: 통신판매업 신고서, 사업자등록증, (법인) 등기부등본·대표자 신분증, 도메인 증빙, </w:t>
      </w:r>
      <w:r>
        <w:rPr>
          <w:b/>
          <w:bCs/>
        </w:rPr>
        <w:t xml:space="preserve">구매안전서비스 이용확인증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신고증 수령 시 </w:t>
      </w:r>
      <w:r>
        <w:rPr>
          <w:b/>
          <w:bCs/>
        </w:rPr>
        <w:t xml:space="preserve">등록면허세</w:t>
      </w:r>
      <w:r>
        <w:t xml:space="preserve">를 매년 1회 납부(지역별 상이)</w:t>
      </w:r>
    </w:p>
    <w:p>
      <w:pPr>
        <w:spacing w:after="120" w:line="288"/>
      </w:pPr>
      <w:r>
        <w:rPr>
          <w:b/>
          <w:bCs/>
        </w:rPr>
        <w:t xml:space="preserve">구매안전서비스(에스크로)는 별도 업체와 계약할 필요가 없습니다. </w:t>
      </w:r>
      <w:r>
        <w:t xml:space="preserve">아래 4번의 토스페이먼츠 PG/지급대행 계약 시 함께 제공되며, 그 이용확인증을 통신판매업 신고에 첨부합니다.</w:t>
      </w:r>
    </w:p>
    <w:p>
      <w:pPr>
        <w:spacing w:after="80"/>
      </w:pPr>
    </w:p>
    <w:p>
      <w:pPr>
        <w:pStyle w:val="Heading2"/>
      </w:pPr>
      <w:r>
        <w:t xml:space="preserve">중개업자의 법정 의무 (전자상거래법)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당사자 아님 고지: </w:t>
      </w:r>
      <w:r>
        <w:t xml:space="preserve">자신이 통신판매 당사자가 아님을 소비자가 쉽게 알 수 있도록 미리 고지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판매자 신원정보 확인·제공: </w:t>
      </w:r>
      <w:r>
        <w:t xml:space="preserve">판매자(사업자)의 상호·대표자·주소·전화번호 등을 확인해 소비자에게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분쟁 해결 조치: </w:t>
      </w:r>
      <w:r>
        <w:t xml:space="preserve">소비자 피해 발생 시 처리할 수 있는 절차 마련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일부 의무의 대신 이행: </w:t>
      </w:r>
      <w:r>
        <w:t xml:space="preserve">청약 접수·대금 수령에 관여하므로, 판매자가 일부 의무(예: 청약철회 정보 제공)를 이행하지 않으면 중개업자가 이를 대신 이행해야 할 수 있음</w:t>
      </w:r>
    </w:p>
    <w:p>
      <w:pPr>
        <w:pStyle w:val="Heading1"/>
      </w:pPr>
      <w:r>
        <w:t xml:space="preserve">3. 결제·정산 — 토스페이먼츠 '지급대행 서비스'</w:t>
      </w:r>
    </w:p>
    <w:p>
      <w:pPr>
        <w:pStyle w:val="Heading2"/>
      </w:pPr>
      <w:r>
        <w:t xml:space="preserve">왜 일반 PG가 아니라 지급대행인가</w:t>
      </w:r>
    </w:p>
    <w:p>
      <w:pPr>
        <w:spacing w:after="120" w:line="288"/>
      </w:pPr>
      <w:r>
        <w:t xml:space="preserve">여러 판매자의 대금을 받아 정산하는 오픈마켓은 원칙적으로 직접 PG로 등록해야 하지만, 자본금·재무건전성 등 요건이 까다롭습니다. 또한 </w:t>
      </w:r>
      <w:r>
        <w:rPr>
          <w:b/>
          <w:bCs/>
        </w:rPr>
        <w:t xml:space="preserve">2024년 9월 개정 전자금융거래법</w:t>
      </w:r>
      <w:r>
        <w:t xml:space="preserve">에 따라 PG 등록 사업자만 가맹점 계약을 맺을 수 있게 바뀌었습니다. 따라서 토스페이먼츠 같은 등록 PG사의 </w:t>
      </w:r>
      <w:r>
        <w:rPr>
          <w:b/>
          <w:bCs/>
        </w:rPr>
        <w:t xml:space="preserve">지급대행 서비스</w:t>
      </w:r>
      <w:r>
        <w:t xml:space="preserve">를 이용하는 것이 정석 경로이며, 이를 통해 운영자가 직접 전자금융업/PG 등록을 하지 않아도 됩니다.</w:t>
      </w:r>
    </w:p>
    <w:p>
      <w:pPr>
        <w:spacing w:after="80"/>
      </w:pPr>
    </w:p>
    <w:p>
      <w:pPr>
        <w:pStyle w:val="Heading2"/>
      </w:pPr>
      <w:r>
        <w:t xml:space="preserve">사람이 직접 처리하는 절차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토스페이먼츠와 지급대행 계약 체결</w:t>
      </w:r>
      <w:r>
        <w:t xml:space="preserve"> — 운영사가 '대표가맹점/고객사'로 계약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심사 → '계약 완료'</w:t>
      </w:r>
      <w:r>
        <w:t xml:space="preserve"> — 계약 완료 시점부터 정산 수령 가능 (신청 후 3영업일 내 연락 없으면 고객센터 확인)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입점 판매자를 '셀러'로 등록 + 셀러 KYC 심사</w:t>
      </w:r>
      <w:r>
        <w:t xml:space="preserve"> — 토스 상점관리자의 '지급대행' 메뉴에서 셀러관리·지급요청·잔액관리·KYC 처리</w:t>
      </w:r>
    </w:p>
    <w:p>
      <w:pPr>
        <w:spacing w:after="80"/>
      </w:pPr>
    </w:p>
    <w:p>
      <w:pPr>
        <w:pStyle w:val="Heading2"/>
      </w:pPr>
      <w:r>
        <w:t xml:space="preserve">계약 시 필요 서류 (법인 기준)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사업자등록증, 통신판매업 신고증, 도메인/사이트 증빙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법인등기부등본, 법인인감증명서, 주주명부 — 모두 3개월 이내 발행본</w:t>
      </w:r>
      <w:r>
        <w:t xml:space="preserve"> (공동대표면 모두 날인·인감증명 제출)</w:t>
      </w:r>
    </w:p>
    <w:p>
      <w:pPr>
        <w:spacing w:after="80"/>
      </w:pPr>
    </w:p>
    <w:p>
      <w:pPr>
        <w:pStyle w:val="Heading2"/>
      </w:pPr>
      <w:r>
        <w:t xml:space="preserve">비용 및 한도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비용: </w:t>
      </w:r>
      <w:r>
        <w:t xml:space="preserve">가입비·연관리비·보증보험료로 구성. 정찰제가 아니며 거래 규모·형태별로 달라지므로 토스페이먼츠 결제컨설팅으로 견적을 받아야 정확함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비사업자 판매자: </w:t>
      </w:r>
      <w:r>
        <w:t xml:space="preserve">사업자등록 없는 개인도 가능하나 월 누적 최대 200만 원 결제·정산 한도 제한</w:t>
      </w:r>
    </w:p>
    <w:p>
      <w:pPr>
        <w:pBdr>
          <w:left w:val="single" w:color="2E5A88" w:sz="18" w:space="12"/>
        </w:pBdr>
        <w:shd w:fill="EAF1F8" w:val="clear"/>
        <w:spacing w:after="120" w:line="276"/>
      </w:pPr>
      <w:r>
        <w:rPr>
          <w:b/>
          <w:bCs/>
          <w:color w:val="2E5A88"/>
        </w:rPr>
        <w:t xml:space="preserve">⚠ </w:t>
      </w:r>
      <w:r>
        <w:t xml:space="preserve">적립금·포인트·충전금(선불 충전) 기능을 도입하면 「전자금융거래법」상 ‘선불전자지급수단 발행업’ 등록 의무가 별도로 생길 수 있습니다(머지포인트 사태 이후 규제 강화). 초기에는 이런 기능을 넣지 않는 것이 행정 부담을 줄이는 방법입니다.</w:t>
      </w:r>
    </w:p>
    <w:p>
      <w:pPr>
        <w:pStyle w:val="Heading1"/>
      </w:pPr>
      <w:r>
        <w:t xml:space="preserve">4. 판매자(헤어디자이너) 입점 관리 — 핵심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사업자/비사업자 구분 심사: </w:t>
      </w:r>
      <w:r>
        <w:t xml:space="preserve">지속 판매하는 사업자에게는 사업자등록증·통신판매업 신고증, 비사업자에게는 신분 확인 서류를 받음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입점 계약서 / 판매자 이용약관: </w:t>
      </w:r>
      <w:r>
        <w:t xml:space="preserve">수수료, 정산 주기, 책임 분담, 금지 행위, 반품·교환 책임 주체 규정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신원정보 검증 절차: </w:t>
      </w:r>
      <w:r>
        <w:t xml:space="preserve">2번의 중개업자 신원정보 제공 의무와 직결 — 입력값을 실제 서류와 대조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상품 등록 양식 통제: </w:t>
      </w:r>
      <w:r>
        <w:t xml:space="preserve">아래 6번의 상품정보제공고시·KC 인증 증빙을 입력하지 않으면 등록이 안 되도록 설계</w:t>
      </w:r>
    </w:p>
    <w:p>
      <w:pPr>
        <w:pStyle w:val="Heading1"/>
      </w:pPr>
      <w:r>
        <w:t xml:space="preserve">5. 제품 규제 — 미용 도구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화장품책임판매업 등록 불필요: </w:t>
      </w:r>
      <w:r>
        <w:t xml:space="preserve">앞치마·빗·가위는 화장품이 아니므로 화장품법 적용 대상이 아님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일부 품목은 KC 인증/전안법 대상일 수 있음: </w:t>
      </w:r>
      <w:r>
        <w:t xml:space="preserve">미용 가위·빗은 대체로 비대상이나 제품군에 따라 다르고, 앞치마 등 섬유제품은 '가정용 섬유제품 공급자적합성확인' 대상일 수 있음. </w:t>
      </w:r>
      <w:r>
        <w:rPr>
          <w:b/>
          <w:bCs/>
        </w:rPr>
        <w:t xml:space="preserve">인증 책임은 판매자에게 있으며</w:t>
      </w:r>
      <w:r>
        <w:t xml:space="preserve">, 플랫폼은 ‘대상이면 인증서를 제출’하는 심사 절차만 두면 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상품정보제공고시 표시: </w:t>
      </w:r>
      <w:r>
        <w:t xml:space="preserve">판매자가 상품별로 소재·제조국·치수·취급 주의·A/S 책임자 등 고시 항목을 표시하도록 입력 양식으로 강제</w:t>
      </w:r>
    </w:p>
    <w:p>
      <w:pPr>
        <w:pStyle w:val="Heading1"/>
      </w:pPr>
      <w:r>
        <w:t xml:space="preserve">6. 법무 · 소비자보호 문서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소비자용 이용약관 / 판매자용 입점약관 (각각 마련)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개인정보처리방침 및 개인정보보호법 준수 (수집·이용 동의, 안전조치, 일정 규모 이상 시 개인정보 보호책임자 지정)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청약철회·반품·교환 정책: </w:t>
      </w:r>
      <w:r>
        <w:t xml:space="preserve">일반 공산품은 수령 후 7일 내 단순변심 청약철회 가능. 미용 도구는 위생 이슈가 적어 대체로 철회 가능하나, 개봉·사용으로 가치가 현저히 훼손된 경우 등 예외를 약관에 명시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사이트 하단 사업자 정보 표시 + 통신판매중개자 고지 문구 노출</w:t>
      </w:r>
    </w:p>
    <w:p>
      <w:pPr>
        <w:pStyle w:val="Heading1"/>
      </w:pPr>
      <w:r>
        <w:t xml:space="preserve">7. 운영 인프라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고객센터(CS) 체계 — 중개업자의 분쟁 해결 의무와 직결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세무·정산: </w:t>
      </w:r>
      <w:r>
        <w:t xml:space="preserve">판매자 정산 처리, 사업자 셀러는 세금계산서, 비사업자 셀러 정산 시 원천징수(사업소득/기타소득) 여부 확인, 운영사 부가세 신고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(선택) 서비스명·로고 상표 출원</w:t>
      </w:r>
    </w:p>
    <w:p>
      <w:pPr>
        <w:pStyle w:val="Heading1"/>
      </w:pPr>
      <w:r>
        <w:t xml:space="preserve">진행 순서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할 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산출물 / 비고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사업자등록 (법인 권장)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사업자등록증 (업종: 전자상거래+통신판매중개)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토스페이먼츠 지급대행 계약 신청·심사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구매안전서비스 이용확인증 확보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통신판매업 신고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통신판매업 신고증 (+등록면허세)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법무 문서 정비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이용약관·입점약관·개인정보처리방침·환불정책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입점 심사 체계 구축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사업자/비사업자 서류·KC 인증·상품정보고시 양식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셀러 등록·KYC 운영 → 오픈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셀러별 정산 체계 가동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주체별 필요 서류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주체 / 절차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</w:rPr>
              <w:t xml:space="preserve">주요 서류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운영사 (사업자등록)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임대차계약서/사업장 증빙, 대표자 신분증, (법인) 등기·인감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운영사 (통신판매업 신고)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신고서, 사업자등록증, 구매안전서비스 이용확인증, 도메인 증빙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운영사 (토스 지급대행)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사업자등록증, 통신판매업 신고증, 법인등기부등본·법인인감증명서·주주명부(3개월 이내)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입점 판매자 (사업자)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사업자등록증, 통신판매업 신고증, 정산 계좌, 해당 시 KC 인증서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입점 판매자 (비사업자)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000000"/>
              </w:rPr>
              <w:t xml:space="preserve">신분 확인 서류, 정산 계좌 (월 200만 원 한도 적용)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출시 전 전문가 검토 권장 사항</w:t>
      </w:r>
    </w:p>
    <w:p>
      <w:pPr>
        <w:spacing w:after="120" w:line="288"/>
      </w:pPr>
      <w:r>
        <w:t xml:space="preserve">아래 항목은 사업 모델 세부 설계에 따라 판단이 갈리므로, 전자상거래·전자금융 분야 변호사 또는 행정사와 사전 점검을 권장합니다.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중개업자 연대책임 범위 — 어디까지 운영사가 책임지는지 약관으로 어떻게 배분할지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적립금/포인트/충전 도입 시 선불전자지급수단 발행업 등록 필요 여부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취급 품목별 KC 인증/전안법 대상 여부 (특히 섬유·금속 도구)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비사업자 헤어디자이너 정산 시 세무(원천징수) 처리 방식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토스페이먼츠 지급대행 정확한 수수료·등록비·정산 주기 (공식 견적)</w:t>
      </w:r>
    </w:p>
    <w:p>
      <w:pPr>
        <w:pBdr>
          <w:top w:val="single" w:color="CCCCCC" w:sz="6" w:space="8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본 문서는 공개된 법령·자료를 바탕으로 한 일반 안내이며, 법률·세무 자문이 아닙니다. 인허가 요건과 수수료는 변경될 수 있으므로 실제 진행 전 관할 기관 및 전문가의 확인을 받으시기 바랍니다.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2026-06-15T04:40:39.294Z</dcterms:created>
  <dcterms:modified xsi:type="dcterms:W3CDTF">2026-06-15T04:40:39.294Z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