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Model Optimization and Tuning Phase Template</w:t>
      </w:r>
    </w:p>
    <w:p>
      <w:pPr>
        <w:widowControl w:val="false"/>
        <w:spacing w:before="0" w:after="160" w:line="276"/>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 March 2024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739944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Acoustic fire extinguishing prediction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 Marks</w:t>
            </w:r>
          </w:p>
        </w:tc>
      </w:tr>
    </w:tbl>
    <w:p>
      <w:pPr>
        <w:widowControl w:val="false"/>
        <w:spacing w:before="0" w:after="160" w:line="276"/>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Optimization and Tuning Phase</w:t>
      </w:r>
    </w:p>
    <w:p>
      <w:pPr>
        <w:widowControl w:val="false"/>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pPr>
        <w:widowControl w:val="false"/>
        <w:spacing w:before="280" w:after="80" w:line="384"/>
        <w:ind w:right="0" w:left="0" w:firstLine="0"/>
        <w:jc w:val="left"/>
        <w:rPr>
          <w:rFonts w:ascii="Times New Roman" w:hAnsi="Times New Roman" w:cs="Times New Roman" w:eastAsia="Times New Roman"/>
          <w:b/>
          <w:color w:val="0D0D0D"/>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Hyperparameter Tuning Documentation (6 Marks):</w:t>
      </w:r>
    </w:p>
    <w:tbl>
      <w:tblPr/>
      <w:tblGrid>
        <w:gridCol w:w="1767"/>
        <w:gridCol w:w="4692"/>
        <w:gridCol w:w="2901"/>
      </w:tblGrid>
      <w:tr>
        <w:trPr>
          <w:trHeight w:val="695" w:hRule="auto"/>
          <w:jc w:val="left"/>
        </w:trPr>
        <w:tc>
          <w:tcPr>
            <w:tcW w:w="1767"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Model</w:t>
            </w:r>
          </w:p>
        </w:tc>
        <w:tc>
          <w:tcPr>
            <w:tcW w:w="4692"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Tuned Hyperparameters</w:t>
            </w:r>
          </w:p>
        </w:tc>
        <w:tc>
          <w:tcPr>
            <w:tcW w:w="2901"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Optimal Values</w:t>
            </w:r>
          </w:p>
        </w:tc>
      </w:tr>
      <w:tr>
        <w:trPr>
          <w:trHeight w:val="695" w:hRule="auto"/>
          <w:jc w:val="left"/>
        </w:trPr>
        <w:tc>
          <w:tcPr>
            <w:tcW w:w="1767"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KNN</w:t>
            </w:r>
          </w:p>
        </w:tc>
        <w:tc>
          <w:tcPr>
            <w:tcW w:w="4692"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2901"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r>
      <w:tr>
        <w:trPr>
          <w:trHeight w:val="695" w:hRule="auto"/>
          <w:jc w:val="left"/>
        </w:trPr>
        <w:tc>
          <w:tcPr>
            <w:tcW w:w="1767"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SVM</w:t>
            </w:r>
          </w:p>
        </w:tc>
        <w:tc>
          <w:tcPr>
            <w:tcW w:w="4692"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2901"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r>
      <w:tr>
        <w:trPr>
          <w:trHeight w:val="695" w:hRule="auto"/>
          <w:jc w:val="left"/>
        </w:trPr>
        <w:tc>
          <w:tcPr>
            <w:tcW w:w="1767"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Naïve Bayes</w:t>
            </w:r>
          </w:p>
        </w:tc>
        <w:tc>
          <w:tcPr>
            <w:tcW w:w="4692"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2901"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r>
      <w:tr>
        <w:trPr>
          <w:trHeight w:val="695" w:hRule="auto"/>
          <w:jc w:val="left"/>
        </w:trPr>
        <w:tc>
          <w:tcPr>
            <w:tcW w:w="1767"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Logistic Regression</w:t>
            </w:r>
          </w:p>
        </w:tc>
        <w:tc>
          <w:tcPr>
            <w:tcW w:w="4692"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2901"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r>
      <w:tr>
        <w:trPr>
          <w:trHeight w:val="695" w:hRule="auto"/>
          <w:jc w:val="left"/>
        </w:trPr>
        <w:tc>
          <w:tcPr>
            <w:tcW w:w="1767"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Decision tree</w:t>
            </w:r>
          </w:p>
        </w:tc>
        <w:tc>
          <w:tcPr>
            <w:tcW w:w="4692"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2901"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r>
      <w:tr>
        <w:trPr>
          <w:trHeight w:val="695" w:hRule="auto"/>
          <w:jc w:val="left"/>
        </w:trPr>
        <w:tc>
          <w:tcPr>
            <w:tcW w:w="1767"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Random forest </w:t>
            </w:r>
          </w:p>
        </w:tc>
        <w:tc>
          <w:tcPr>
            <w:tcW w:w="4692"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2901"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r>
      <w:tr>
        <w:trPr>
          <w:trHeight w:val="695" w:hRule="auto"/>
          <w:jc w:val="left"/>
        </w:trPr>
        <w:tc>
          <w:tcPr>
            <w:tcW w:w="1767"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Gradient Boosting</w:t>
            </w:r>
          </w:p>
        </w:tc>
        <w:tc>
          <w:tcPr>
            <w:tcW w:w="4692"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2901"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r>
    </w:tbl>
    <w:p>
      <w:pPr>
        <w:widowControl w:val="false"/>
        <w:spacing w:before="280" w:after="80" w:line="384"/>
        <w:ind w:right="0" w:left="0" w:firstLine="0"/>
        <w:jc w:val="left"/>
        <w:rPr>
          <w:rFonts w:ascii="Times New Roman" w:hAnsi="Times New Roman" w:cs="Times New Roman" w:eastAsia="Times New Roman"/>
          <w:b/>
          <w:color w:val="0D0D0D"/>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Performance Metrics Comparison Report (2 Marks):</w:t>
      </w:r>
    </w:p>
    <w:tbl>
      <w:tblPr/>
      <w:tblGrid>
        <w:gridCol w:w="2141"/>
        <w:gridCol w:w="3416"/>
        <w:gridCol w:w="3803"/>
      </w:tblGrid>
      <w:tr>
        <w:trPr>
          <w:trHeight w:val="695" w:hRule="auto"/>
          <w:jc w:val="left"/>
        </w:trPr>
        <w:tc>
          <w:tcPr>
            <w:tcW w:w="2141"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Model</w:t>
            </w:r>
          </w:p>
        </w:tc>
        <w:tc>
          <w:tcPr>
            <w:tcW w:w="3416"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Baseline Metric</w:t>
            </w:r>
          </w:p>
        </w:tc>
        <w:tc>
          <w:tcPr>
            <w:tcW w:w="3803"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Optimized Metric</w:t>
            </w:r>
          </w:p>
        </w:tc>
      </w:tr>
      <w:tr>
        <w:trPr>
          <w:trHeight w:val="695" w:hRule="auto"/>
          <w:jc w:val="left"/>
        </w:trPr>
        <w:tc>
          <w:tcPr>
            <w:tcW w:w="2141"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KNN</w:t>
            </w:r>
          </w:p>
        </w:tc>
        <w:tc>
          <w:tcPr>
            <w:tcW w:w="3416"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3803"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r>
      <w:tr>
        <w:trPr>
          <w:trHeight w:val="695" w:hRule="auto"/>
          <w:jc w:val="left"/>
        </w:trPr>
        <w:tc>
          <w:tcPr>
            <w:tcW w:w="2141"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SVM</w:t>
            </w:r>
          </w:p>
        </w:tc>
        <w:tc>
          <w:tcPr>
            <w:tcW w:w="3416"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3803"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r>
      <w:tr>
        <w:trPr>
          <w:trHeight w:val="695" w:hRule="auto"/>
          <w:jc w:val="left"/>
        </w:trPr>
        <w:tc>
          <w:tcPr>
            <w:tcW w:w="2141"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Naïve Bayes</w:t>
            </w:r>
          </w:p>
        </w:tc>
        <w:tc>
          <w:tcPr>
            <w:tcW w:w="3416"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3803"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r>
      <w:tr>
        <w:trPr>
          <w:trHeight w:val="695" w:hRule="auto"/>
          <w:jc w:val="left"/>
        </w:trPr>
        <w:tc>
          <w:tcPr>
            <w:tcW w:w="2141"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Logistic Regression</w:t>
            </w:r>
          </w:p>
        </w:tc>
        <w:tc>
          <w:tcPr>
            <w:tcW w:w="3416"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3803"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r>
      <w:tr>
        <w:trPr>
          <w:trHeight w:val="695" w:hRule="auto"/>
          <w:jc w:val="left"/>
        </w:trPr>
        <w:tc>
          <w:tcPr>
            <w:tcW w:w="2141"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Decision tree</w:t>
            </w:r>
          </w:p>
        </w:tc>
        <w:tc>
          <w:tcPr>
            <w:tcW w:w="3416"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3803"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r>
      <w:tr>
        <w:trPr>
          <w:trHeight w:val="695" w:hRule="auto"/>
          <w:jc w:val="left"/>
        </w:trPr>
        <w:tc>
          <w:tcPr>
            <w:tcW w:w="2141"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Random forest</w:t>
            </w:r>
          </w:p>
        </w:tc>
        <w:tc>
          <w:tcPr>
            <w:tcW w:w="3416"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3803"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r>
      <w:tr>
        <w:trPr>
          <w:trHeight w:val="695" w:hRule="auto"/>
          <w:jc w:val="left"/>
        </w:trPr>
        <w:tc>
          <w:tcPr>
            <w:tcW w:w="2141"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Gradient Boosting</w:t>
            </w:r>
          </w:p>
        </w:tc>
        <w:tc>
          <w:tcPr>
            <w:tcW w:w="3416"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3803"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r>
    </w:tbl>
    <w:p>
      <w:pPr>
        <w:widowControl w:val="false"/>
        <w:spacing w:before="280" w:after="80" w:line="384"/>
        <w:ind w:right="0" w:left="0" w:firstLine="0"/>
        <w:jc w:val="left"/>
        <w:rPr>
          <w:rFonts w:ascii="Calibri" w:hAnsi="Calibri" w:cs="Calibri" w:eastAsia="Calibri"/>
          <w:color w:val="auto"/>
          <w:spacing w:val="0"/>
          <w:position w:val="0"/>
          <w:sz w:val="22"/>
          <w:shd w:fill="FFFFFF" w:val="clear"/>
        </w:rPr>
      </w:pPr>
    </w:p>
    <w:p>
      <w:pPr>
        <w:widowControl w:val="false"/>
        <w:spacing w:before="280" w:after="80" w:line="384"/>
        <w:ind w:right="0" w:left="0" w:firstLine="0"/>
        <w:jc w:val="left"/>
        <w:rPr>
          <w:rFonts w:ascii="Calibri" w:hAnsi="Calibri" w:cs="Calibri" w:eastAsia="Calibri"/>
          <w:color w:val="auto"/>
          <w:spacing w:val="0"/>
          <w:position w:val="0"/>
          <w:sz w:val="22"/>
          <w:shd w:fill="FFFFFF" w:val="clear"/>
        </w:rPr>
      </w:pPr>
    </w:p>
    <w:p>
      <w:pPr>
        <w:widowControl w:val="false"/>
        <w:spacing w:before="280" w:after="80" w:line="384"/>
        <w:ind w:right="0" w:left="0" w:firstLine="0"/>
        <w:jc w:val="left"/>
        <w:rPr>
          <w:rFonts w:ascii="Calibri" w:hAnsi="Calibri" w:cs="Calibri" w:eastAsia="Calibri"/>
          <w:color w:val="auto"/>
          <w:spacing w:val="0"/>
          <w:position w:val="0"/>
          <w:sz w:val="22"/>
          <w:shd w:fill="FFFFFF" w:val="clear"/>
        </w:rPr>
      </w:pPr>
    </w:p>
    <w:p>
      <w:pPr>
        <w:widowControl w:val="false"/>
        <w:spacing w:before="280" w:after="80" w:line="384"/>
        <w:ind w:right="0" w:left="0" w:firstLine="0"/>
        <w:jc w:val="left"/>
        <w:rPr>
          <w:rFonts w:ascii="Calibri" w:hAnsi="Calibri" w:cs="Calibri" w:eastAsia="Calibri"/>
          <w:color w:val="auto"/>
          <w:spacing w:val="0"/>
          <w:position w:val="0"/>
          <w:sz w:val="22"/>
          <w:shd w:fill="FFFFFF" w:val="clear"/>
        </w:rPr>
      </w:pPr>
    </w:p>
    <w:p>
      <w:pPr>
        <w:widowControl w:val="false"/>
        <w:spacing w:before="280" w:after="80" w:line="384"/>
        <w:ind w:right="0" w:left="0" w:firstLine="0"/>
        <w:jc w:val="left"/>
        <w:rPr>
          <w:rFonts w:ascii="Calibri" w:hAnsi="Calibri" w:cs="Calibri" w:eastAsia="Calibri"/>
          <w:color w:val="auto"/>
          <w:spacing w:val="0"/>
          <w:position w:val="0"/>
          <w:sz w:val="22"/>
          <w:shd w:fill="FFFFFF" w:val="clear"/>
        </w:rPr>
      </w:pPr>
    </w:p>
    <w:p>
      <w:pPr>
        <w:widowControl w:val="false"/>
        <w:spacing w:before="280" w:after="80" w:line="384"/>
        <w:ind w:right="0" w:left="0" w:firstLine="0"/>
        <w:jc w:val="left"/>
        <w:rPr>
          <w:rFonts w:ascii="Times New Roman" w:hAnsi="Times New Roman" w:cs="Times New Roman" w:eastAsia="Times New Roman"/>
          <w:b/>
          <w:color w:val="0D0D0D"/>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Final Model Selection Justification (2 Marks):</w:t>
      </w:r>
    </w:p>
    <w:tbl>
      <w:tblPr/>
      <w:tblGrid>
        <w:gridCol w:w="2243"/>
        <w:gridCol w:w="7117"/>
      </w:tblGrid>
      <w:tr>
        <w:trPr>
          <w:trHeight w:val="695" w:hRule="auto"/>
          <w:jc w:val="left"/>
        </w:trPr>
        <w:tc>
          <w:tcPr>
            <w:tcW w:w="2243"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Final Model</w:t>
            </w:r>
          </w:p>
        </w:tc>
        <w:tc>
          <w:tcPr>
            <w:tcW w:w="7117"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Reasoning</w:t>
            </w:r>
          </w:p>
        </w:tc>
      </w:tr>
      <w:tr>
        <w:trPr>
          <w:trHeight w:val="695" w:hRule="auto"/>
          <w:jc w:val="left"/>
        </w:trPr>
        <w:tc>
          <w:tcPr>
            <w:tcW w:w="2243"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Random Forest</w:t>
            </w:r>
          </w:p>
        </w:tc>
        <w:tc>
          <w:tcPr>
            <w:tcW w:w="7117"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Random Forest is selected because it is robust, handles overfitting well, works with various data types, requires minimal tuning, and provides feature importance insights. for time series data, LSTM (Long Short-Term Memory) networks, a type of RNN, could also be highly effective.</w:t>
            </w:r>
          </w:p>
        </w:tc>
      </w:tr>
    </w:tbl>
    <w:p>
      <w:pPr>
        <w:widowControl w:val="false"/>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